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15ED7" w14:textId="2DEA651D" w:rsidR="000019B7" w:rsidRPr="00087E31" w:rsidRDefault="000019B7" w:rsidP="00087E31">
      <w:pPr>
        <w:jc w:val="both"/>
        <w:rPr>
          <w:rFonts w:ascii="Calibri" w:eastAsia="Times New Roman" w:hAnsi="Calibri" w:cs="Calibri"/>
          <w:b/>
          <w:bCs/>
          <w:color w:val="000001"/>
          <w:kern w:val="0"/>
          <w:sz w:val="32"/>
          <w:szCs w:val="32"/>
          <w:lang w:eastAsia="pl-PL"/>
          <w14:ligatures w14:val="none"/>
        </w:rPr>
      </w:pPr>
      <w:bookmarkStart w:id="0" w:name="_Hlk224659701"/>
      <w:r w:rsidRPr="00087E31">
        <w:rPr>
          <w:rFonts w:ascii="Calibri" w:eastAsia="Times New Roman" w:hAnsi="Calibri" w:cs="Calibri"/>
          <w:b/>
          <w:bCs/>
          <w:color w:val="000001"/>
          <w:kern w:val="0"/>
          <w:sz w:val="32"/>
          <w:szCs w:val="32"/>
          <w:lang w:eastAsia="pl-PL"/>
          <w14:ligatures w14:val="none"/>
        </w:rPr>
        <w:t>Elektroniczna karta znieczulenia jako element CIS</w:t>
      </w:r>
      <w:bookmarkEnd w:id="0"/>
      <w:r w:rsidRPr="00087E31">
        <w:rPr>
          <w:rFonts w:ascii="Calibri" w:eastAsia="Times New Roman" w:hAnsi="Calibri" w:cs="Calibri"/>
          <w:b/>
          <w:bCs/>
          <w:color w:val="000001"/>
          <w:kern w:val="0"/>
          <w:sz w:val="32"/>
          <w:szCs w:val="32"/>
          <w:lang w:eastAsia="pl-PL"/>
          <w14:ligatures w14:val="none"/>
        </w:rPr>
        <w:t xml:space="preserve"> - System Informatyczny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7B35FD" w:rsidRPr="00087E31" w14:paraId="2D90F520" w14:textId="70794027" w:rsidTr="003F39D9">
        <w:trPr>
          <w:trHeight w:val="315"/>
        </w:trPr>
        <w:tc>
          <w:tcPr>
            <w:tcW w:w="4056" w:type="pct"/>
            <w:gridSpan w:val="2"/>
          </w:tcPr>
          <w:p w14:paraId="142D6BE5" w14:textId="0BD51C03" w:rsidR="007B35FD" w:rsidRPr="00087E31" w:rsidRDefault="007B35FD" w:rsidP="00E4436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Parametry ogólne</w:t>
            </w:r>
          </w:p>
        </w:tc>
        <w:tc>
          <w:tcPr>
            <w:tcW w:w="944" w:type="pct"/>
          </w:tcPr>
          <w:p w14:paraId="769F15D2" w14:textId="523B8F3A" w:rsidR="007B35FD"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Uwagi</w:t>
            </w:r>
          </w:p>
        </w:tc>
      </w:tr>
      <w:tr w:rsidR="007B35FD" w:rsidRPr="00A17E7B" w14:paraId="2657EDA9" w14:textId="50150AA8" w:rsidTr="003F39D9">
        <w:trPr>
          <w:trHeight w:val="315"/>
        </w:trPr>
        <w:tc>
          <w:tcPr>
            <w:tcW w:w="306" w:type="pct"/>
            <w:vAlign w:val="center"/>
          </w:tcPr>
          <w:p w14:paraId="6FE5FBB0" w14:textId="77777777" w:rsidR="007B35FD" w:rsidRPr="00A17E7B" w:rsidRDefault="007B35FD" w:rsidP="00A17E7B">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hideMark/>
          </w:tcPr>
          <w:p w14:paraId="2D18AAA9" w14:textId="665898AC" w:rsidR="007B35FD" w:rsidRPr="00A17E7B" w:rsidRDefault="007B35FD" w:rsidP="00902E0F">
            <w:pPr>
              <w:spacing w:after="0" w:line="240" w:lineRule="auto"/>
              <w:rPr>
                <w:rFonts w:ascii="Calibri" w:eastAsia="Times New Roman" w:hAnsi="Calibri" w:cs="Calibri"/>
                <w:color w:val="000001"/>
                <w:kern w:val="0"/>
                <w:lang w:eastAsia="pl-PL"/>
                <w14:ligatures w14:val="none"/>
              </w:rPr>
            </w:pPr>
            <w:r w:rsidRPr="00A17E7B">
              <w:rPr>
                <w:rFonts w:ascii="Calibri" w:eastAsia="Times New Roman" w:hAnsi="Calibri" w:cs="Calibri"/>
                <w:color w:val="000001"/>
                <w:kern w:val="0"/>
                <w:lang w:eastAsia="pl-PL"/>
                <w14:ligatures w14:val="none"/>
              </w:rPr>
              <w:t>Obsługa systemu w całości w języku polskim.</w:t>
            </w:r>
          </w:p>
        </w:tc>
        <w:tc>
          <w:tcPr>
            <w:tcW w:w="944" w:type="pct"/>
          </w:tcPr>
          <w:p w14:paraId="5246A220" w14:textId="77777777" w:rsidR="007B35FD" w:rsidRPr="00A17E7B" w:rsidRDefault="007B35FD" w:rsidP="003F39D9">
            <w:pPr>
              <w:spacing w:after="0" w:line="240" w:lineRule="auto"/>
              <w:jc w:val="center"/>
              <w:rPr>
                <w:rFonts w:ascii="Calibri" w:eastAsia="Times New Roman" w:hAnsi="Calibri" w:cs="Calibri"/>
                <w:color w:val="000001"/>
                <w:kern w:val="0"/>
                <w:lang w:eastAsia="pl-PL"/>
                <w14:ligatures w14:val="none"/>
              </w:rPr>
            </w:pPr>
          </w:p>
        </w:tc>
      </w:tr>
      <w:tr w:rsidR="007B35FD" w:rsidRPr="00A17E7B" w14:paraId="7A7BFF47" w14:textId="7AC69052" w:rsidTr="003F39D9">
        <w:trPr>
          <w:trHeight w:val="315"/>
        </w:trPr>
        <w:tc>
          <w:tcPr>
            <w:tcW w:w="306" w:type="pct"/>
            <w:vAlign w:val="center"/>
          </w:tcPr>
          <w:p w14:paraId="38C0E996" w14:textId="77777777" w:rsidR="007B35FD" w:rsidRPr="00A17E7B" w:rsidRDefault="007B35FD" w:rsidP="00A17E7B">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hideMark/>
          </w:tcPr>
          <w:p w14:paraId="16454530" w14:textId="64F57CC8" w:rsidR="007B35FD" w:rsidRPr="00A17E7B" w:rsidRDefault="007B35FD" w:rsidP="00902E0F">
            <w:pPr>
              <w:spacing w:after="0" w:line="240" w:lineRule="auto"/>
              <w:rPr>
                <w:rFonts w:ascii="Calibri" w:eastAsia="Times New Roman" w:hAnsi="Calibri" w:cs="Calibri"/>
                <w:color w:val="000001"/>
                <w:kern w:val="0"/>
                <w:lang w:eastAsia="pl-PL"/>
                <w14:ligatures w14:val="none"/>
              </w:rPr>
            </w:pPr>
            <w:r w:rsidRPr="00A17E7B">
              <w:rPr>
                <w:rFonts w:ascii="Calibri" w:eastAsia="Times New Roman" w:hAnsi="Calibri" w:cs="Calibri"/>
                <w:color w:val="000001"/>
                <w:kern w:val="0"/>
                <w:lang w:eastAsia="pl-PL"/>
                <w14:ligatures w14:val="none"/>
              </w:rPr>
              <w:t>Wdrożenie oraz serwisowanie systemu wykonywane przez zespół, posługujący się biegle językiem polskim.</w:t>
            </w:r>
          </w:p>
        </w:tc>
        <w:tc>
          <w:tcPr>
            <w:tcW w:w="944" w:type="pct"/>
          </w:tcPr>
          <w:p w14:paraId="2E9B8CCE" w14:textId="77777777" w:rsidR="007B35FD" w:rsidRPr="00A17E7B" w:rsidRDefault="007B35FD" w:rsidP="003F39D9">
            <w:pPr>
              <w:spacing w:after="0" w:line="240" w:lineRule="auto"/>
              <w:jc w:val="center"/>
              <w:rPr>
                <w:rFonts w:ascii="Calibri" w:eastAsia="Times New Roman" w:hAnsi="Calibri" w:cs="Calibri"/>
                <w:color w:val="000001"/>
                <w:kern w:val="0"/>
                <w:lang w:eastAsia="pl-PL"/>
                <w14:ligatures w14:val="none"/>
              </w:rPr>
            </w:pPr>
          </w:p>
        </w:tc>
      </w:tr>
      <w:tr w:rsidR="007B35FD" w:rsidRPr="00A17E7B" w14:paraId="69AE1802" w14:textId="20758DC9" w:rsidTr="003F39D9">
        <w:trPr>
          <w:trHeight w:val="630"/>
        </w:trPr>
        <w:tc>
          <w:tcPr>
            <w:tcW w:w="306" w:type="pct"/>
            <w:vAlign w:val="center"/>
          </w:tcPr>
          <w:p w14:paraId="05FD3969" w14:textId="77777777" w:rsidR="007B35FD" w:rsidRPr="00A17E7B" w:rsidRDefault="007B35FD" w:rsidP="00A17E7B">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hideMark/>
          </w:tcPr>
          <w:p w14:paraId="01FD3385" w14:textId="1DF3EF69" w:rsidR="007B35FD" w:rsidRPr="00A17E7B" w:rsidRDefault="007B35FD" w:rsidP="00902E0F">
            <w:pPr>
              <w:spacing w:after="0" w:line="240" w:lineRule="auto"/>
              <w:rPr>
                <w:rFonts w:ascii="Calibri" w:eastAsia="Times New Roman" w:hAnsi="Calibri" w:cs="Calibri"/>
                <w:color w:val="000001"/>
                <w:kern w:val="0"/>
                <w:lang w:eastAsia="pl-PL"/>
                <w14:ligatures w14:val="none"/>
              </w:rPr>
            </w:pPr>
            <w:r w:rsidRPr="00A17E7B">
              <w:rPr>
                <w:rFonts w:ascii="Calibri" w:eastAsia="Times New Roman" w:hAnsi="Calibri" w:cs="Calibri"/>
                <w:color w:val="000001"/>
                <w:kern w:val="0"/>
                <w:lang w:eastAsia="pl-PL"/>
                <w14:ligatures w14:val="none"/>
              </w:rPr>
              <w:t xml:space="preserve">System musi </w:t>
            </w:r>
            <w:r>
              <w:rPr>
                <w:rFonts w:ascii="Calibri" w:eastAsia="Times New Roman" w:hAnsi="Calibri" w:cs="Calibri"/>
                <w:color w:val="000001"/>
                <w:kern w:val="0"/>
                <w:lang w:eastAsia="pl-PL"/>
                <w14:ligatures w14:val="none"/>
              </w:rPr>
              <w:t>w</w:t>
            </w:r>
            <w:r w:rsidRPr="00A17E7B">
              <w:rPr>
                <w:rFonts w:ascii="Calibri" w:eastAsia="Times New Roman" w:hAnsi="Calibri" w:cs="Calibri"/>
                <w:color w:val="000001"/>
                <w:kern w:val="0"/>
                <w:lang w:eastAsia="pl-PL"/>
                <w14:ligatures w14:val="none"/>
              </w:rPr>
              <w:t xml:space="preserve"> klas</w:t>
            </w:r>
            <w:r>
              <w:rPr>
                <w:rFonts w:ascii="Calibri" w:eastAsia="Times New Roman" w:hAnsi="Calibri" w:cs="Calibri"/>
                <w:color w:val="000001"/>
                <w:kern w:val="0"/>
                <w:lang w:eastAsia="pl-PL"/>
                <w14:ligatures w14:val="none"/>
              </w:rPr>
              <w:t>ie minimum</w:t>
            </w:r>
            <w:r w:rsidRPr="00A17E7B">
              <w:rPr>
                <w:rFonts w:ascii="Calibri" w:eastAsia="Times New Roman" w:hAnsi="Calibri" w:cs="Calibri"/>
                <w:color w:val="000001"/>
                <w:kern w:val="0"/>
                <w:lang w:eastAsia="pl-PL"/>
                <w14:ligatures w14:val="none"/>
              </w:rPr>
              <w:t xml:space="preserve"> </w:t>
            </w:r>
            <w:proofErr w:type="spellStart"/>
            <w:r w:rsidRPr="00A17E7B">
              <w:rPr>
                <w:rFonts w:ascii="Calibri" w:eastAsia="Times New Roman" w:hAnsi="Calibri" w:cs="Calibri"/>
                <w:color w:val="000001"/>
                <w:kern w:val="0"/>
                <w:lang w:eastAsia="pl-PL"/>
                <w14:ligatures w14:val="none"/>
              </w:rPr>
              <w:t>IIb</w:t>
            </w:r>
            <w:proofErr w:type="spellEnd"/>
            <w:r>
              <w:rPr>
                <w:rFonts w:ascii="Calibri" w:eastAsia="Times New Roman" w:hAnsi="Calibri" w:cs="Calibri"/>
                <w:color w:val="000001"/>
                <w:kern w:val="0"/>
                <w:lang w:eastAsia="pl-PL"/>
                <w14:ligatures w14:val="none"/>
              </w:rPr>
              <w:t xml:space="preserve"> MDR</w:t>
            </w:r>
          </w:p>
        </w:tc>
        <w:tc>
          <w:tcPr>
            <w:tcW w:w="944" w:type="pct"/>
          </w:tcPr>
          <w:p w14:paraId="58CD0E6B" w14:textId="453DC1FC" w:rsidR="007B35FD" w:rsidRPr="00A17E7B" w:rsidRDefault="003F39D9" w:rsidP="003F39D9">
            <w:pPr>
              <w:spacing w:after="0" w:line="240" w:lineRule="auto"/>
              <w:jc w:val="center"/>
              <w:rPr>
                <w:rFonts w:ascii="Calibri" w:eastAsia="Times New Roman" w:hAnsi="Calibri" w:cs="Calibri"/>
                <w:color w:val="000001"/>
                <w:kern w:val="0"/>
                <w:lang w:eastAsia="pl-PL"/>
                <w14:ligatures w14:val="none"/>
              </w:rPr>
            </w:pPr>
            <w:r>
              <w:rPr>
                <w:rFonts w:ascii="Calibri" w:eastAsia="Times New Roman" w:hAnsi="Calibri" w:cs="Calibri"/>
                <w:color w:val="000001"/>
                <w:kern w:val="0"/>
                <w:lang w:eastAsia="pl-PL"/>
                <w14:ligatures w14:val="none"/>
              </w:rPr>
              <w:t>Potwierdzone dokumentem od producenta</w:t>
            </w:r>
          </w:p>
        </w:tc>
      </w:tr>
      <w:tr w:rsidR="003F39D9" w:rsidRPr="00A17E7B" w14:paraId="0C8ED30E" w14:textId="4DAEF3C4" w:rsidTr="003F39D9">
        <w:trPr>
          <w:trHeight w:val="630"/>
        </w:trPr>
        <w:tc>
          <w:tcPr>
            <w:tcW w:w="306" w:type="pct"/>
            <w:vAlign w:val="center"/>
          </w:tcPr>
          <w:p w14:paraId="5E0725B2" w14:textId="77777777" w:rsidR="003F39D9" w:rsidRPr="00A17E7B" w:rsidRDefault="003F39D9" w:rsidP="003F39D9">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tcPr>
          <w:p w14:paraId="533DFFE5" w14:textId="54C0E4C2" w:rsidR="003F39D9" w:rsidRPr="00A17E7B" w:rsidRDefault="003F39D9" w:rsidP="003F39D9">
            <w:pPr>
              <w:spacing w:after="0" w:line="240" w:lineRule="auto"/>
              <w:rPr>
                <w:rFonts w:ascii="Calibri" w:eastAsia="Times New Roman" w:hAnsi="Calibri" w:cs="Calibri"/>
                <w:color w:val="000001"/>
                <w:kern w:val="0"/>
                <w:lang w:eastAsia="pl-PL"/>
                <w14:ligatures w14:val="none"/>
              </w:rPr>
            </w:pPr>
            <w:r>
              <w:rPr>
                <w:rFonts w:ascii="Calibri" w:eastAsia="Times New Roman" w:hAnsi="Calibri" w:cs="Calibri"/>
                <w:color w:val="000001"/>
                <w:kern w:val="0"/>
                <w:lang w:eastAsia="pl-PL"/>
                <w14:ligatures w14:val="none"/>
              </w:rPr>
              <w:t>Deklaracja CE</w:t>
            </w:r>
          </w:p>
        </w:tc>
        <w:tc>
          <w:tcPr>
            <w:tcW w:w="944" w:type="pct"/>
          </w:tcPr>
          <w:p w14:paraId="4BCA7853" w14:textId="6D47B6A3" w:rsidR="003F39D9" w:rsidRDefault="003F39D9" w:rsidP="003F39D9">
            <w:pPr>
              <w:spacing w:after="0" w:line="240" w:lineRule="auto"/>
              <w:jc w:val="center"/>
              <w:rPr>
                <w:rFonts w:ascii="Calibri" w:eastAsia="Times New Roman" w:hAnsi="Calibri" w:cs="Calibri"/>
                <w:color w:val="000001"/>
                <w:kern w:val="0"/>
                <w:lang w:eastAsia="pl-PL"/>
                <w14:ligatures w14:val="none"/>
              </w:rPr>
            </w:pPr>
            <w:r>
              <w:rPr>
                <w:rFonts w:ascii="Calibri" w:eastAsia="Times New Roman" w:hAnsi="Calibri" w:cs="Calibri"/>
                <w:color w:val="000001"/>
                <w:kern w:val="0"/>
                <w:lang w:eastAsia="pl-PL"/>
                <w14:ligatures w14:val="none"/>
              </w:rPr>
              <w:t>Potwierdzone dokumentem od producenta</w:t>
            </w:r>
          </w:p>
        </w:tc>
      </w:tr>
      <w:tr w:rsidR="003F39D9" w:rsidRPr="00A17E7B" w14:paraId="7281D334" w14:textId="3E870EEE" w:rsidTr="003F39D9">
        <w:trPr>
          <w:trHeight w:val="315"/>
        </w:trPr>
        <w:tc>
          <w:tcPr>
            <w:tcW w:w="306" w:type="pct"/>
            <w:vAlign w:val="center"/>
          </w:tcPr>
          <w:p w14:paraId="5F6A0982" w14:textId="77777777" w:rsidR="003F39D9" w:rsidRPr="00A17E7B" w:rsidRDefault="003F39D9" w:rsidP="003F39D9">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hideMark/>
          </w:tcPr>
          <w:p w14:paraId="3A6FEA71" w14:textId="5FBFE2BB" w:rsidR="003F39D9" w:rsidRPr="00A17E7B" w:rsidRDefault="003F39D9" w:rsidP="003F39D9">
            <w:pPr>
              <w:spacing w:after="0" w:line="240" w:lineRule="auto"/>
              <w:rPr>
                <w:rFonts w:ascii="Calibri" w:eastAsia="Times New Roman" w:hAnsi="Calibri" w:cs="Calibri"/>
                <w:color w:val="000001"/>
                <w:kern w:val="0"/>
                <w:lang w:eastAsia="pl-PL"/>
                <w14:ligatures w14:val="none"/>
              </w:rPr>
            </w:pPr>
            <w:r w:rsidRPr="00A17E7B">
              <w:rPr>
                <w:rFonts w:ascii="Calibri" w:eastAsia="Times New Roman" w:hAnsi="Calibri" w:cs="Calibri"/>
                <w:color w:val="000001"/>
                <w:kern w:val="0"/>
                <w:lang w:eastAsia="pl-PL"/>
                <w14:ligatures w14:val="none"/>
              </w:rPr>
              <w:t>System ma możliwość jednoczesnego sczytywania sygnałów z min. 4 urządzeń medycznych dla każdego stanowiska pacjenta.</w:t>
            </w:r>
          </w:p>
        </w:tc>
        <w:tc>
          <w:tcPr>
            <w:tcW w:w="944" w:type="pct"/>
          </w:tcPr>
          <w:p w14:paraId="5E549DAC" w14:textId="77777777" w:rsidR="003F39D9" w:rsidRPr="00A17E7B" w:rsidRDefault="003F39D9" w:rsidP="003F39D9">
            <w:pPr>
              <w:spacing w:after="0" w:line="240" w:lineRule="auto"/>
              <w:jc w:val="center"/>
              <w:rPr>
                <w:rFonts w:ascii="Calibri" w:eastAsia="Times New Roman" w:hAnsi="Calibri" w:cs="Calibri"/>
                <w:color w:val="000001"/>
                <w:kern w:val="0"/>
                <w:lang w:eastAsia="pl-PL"/>
                <w14:ligatures w14:val="none"/>
              </w:rPr>
            </w:pPr>
          </w:p>
        </w:tc>
      </w:tr>
      <w:tr w:rsidR="000019B7" w:rsidRPr="00A17E7B" w14:paraId="5703945B" w14:textId="77777777" w:rsidTr="003F39D9">
        <w:trPr>
          <w:trHeight w:val="315"/>
        </w:trPr>
        <w:tc>
          <w:tcPr>
            <w:tcW w:w="306" w:type="pct"/>
            <w:vAlign w:val="center"/>
          </w:tcPr>
          <w:p w14:paraId="1C788EE6" w14:textId="77777777" w:rsidR="000019B7" w:rsidRPr="00A17E7B" w:rsidRDefault="000019B7" w:rsidP="003F39D9">
            <w:pPr>
              <w:pStyle w:val="Akapitzlist"/>
              <w:numPr>
                <w:ilvl w:val="0"/>
                <w:numId w:val="1"/>
              </w:numPr>
              <w:spacing w:after="0" w:line="240" w:lineRule="auto"/>
              <w:rPr>
                <w:rFonts w:ascii="Calibri" w:eastAsia="Times New Roman" w:hAnsi="Calibri" w:cs="Calibri"/>
                <w:color w:val="000001"/>
                <w:kern w:val="0"/>
                <w:lang w:eastAsia="pl-PL"/>
                <w14:ligatures w14:val="none"/>
              </w:rPr>
            </w:pPr>
          </w:p>
        </w:tc>
        <w:tc>
          <w:tcPr>
            <w:tcW w:w="3750" w:type="pct"/>
            <w:vAlign w:val="center"/>
          </w:tcPr>
          <w:p w14:paraId="580EDC4E" w14:textId="3CBF5D7E" w:rsidR="000019B7" w:rsidRPr="00A17E7B" w:rsidRDefault="000019B7" w:rsidP="003F39D9">
            <w:pPr>
              <w:spacing w:after="0" w:line="240" w:lineRule="auto"/>
              <w:rPr>
                <w:rFonts w:ascii="Calibri" w:eastAsia="Times New Roman" w:hAnsi="Calibri" w:cs="Calibri"/>
                <w:color w:val="000001"/>
                <w:kern w:val="0"/>
                <w:lang w:eastAsia="pl-PL"/>
                <w14:ligatures w14:val="none"/>
              </w:rPr>
            </w:pPr>
            <w:r>
              <w:rPr>
                <w:rFonts w:ascii="Calibri" w:eastAsia="Times New Roman" w:hAnsi="Calibri" w:cs="Calibri"/>
                <w:color w:val="000001"/>
                <w:kern w:val="0"/>
                <w:lang w:eastAsia="pl-PL"/>
                <w14:ligatures w14:val="none"/>
              </w:rPr>
              <w:t>Wsparcie systemu na 3 lata.</w:t>
            </w:r>
          </w:p>
        </w:tc>
        <w:tc>
          <w:tcPr>
            <w:tcW w:w="944" w:type="pct"/>
          </w:tcPr>
          <w:p w14:paraId="4D267281" w14:textId="77777777" w:rsidR="000019B7" w:rsidRPr="00A17E7B" w:rsidRDefault="000019B7" w:rsidP="003F39D9">
            <w:pPr>
              <w:spacing w:after="0" w:line="240" w:lineRule="auto"/>
              <w:jc w:val="center"/>
              <w:rPr>
                <w:rFonts w:ascii="Calibri" w:eastAsia="Times New Roman" w:hAnsi="Calibri" w:cs="Calibri"/>
                <w:color w:val="000001"/>
                <w:kern w:val="0"/>
                <w:lang w:eastAsia="pl-PL"/>
                <w14:ligatures w14:val="none"/>
              </w:rPr>
            </w:pPr>
          </w:p>
        </w:tc>
      </w:tr>
    </w:tbl>
    <w:p w14:paraId="1C3FE9C8"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6CC6732A" w14:textId="24418061" w:rsidTr="003F39D9">
        <w:trPr>
          <w:trHeight w:val="300"/>
        </w:trPr>
        <w:tc>
          <w:tcPr>
            <w:tcW w:w="4056" w:type="pct"/>
            <w:gridSpan w:val="2"/>
          </w:tcPr>
          <w:p w14:paraId="56DCB988" w14:textId="38ACB03B"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 xml:space="preserve">Blok operacyjny </w:t>
            </w:r>
          </w:p>
        </w:tc>
        <w:tc>
          <w:tcPr>
            <w:tcW w:w="944" w:type="pct"/>
          </w:tcPr>
          <w:p w14:paraId="7FE6DDE7"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053C5327" w14:textId="56DBF0DC" w:rsidTr="003F39D9">
        <w:trPr>
          <w:trHeight w:val="600"/>
        </w:trPr>
        <w:tc>
          <w:tcPr>
            <w:tcW w:w="306" w:type="pct"/>
          </w:tcPr>
          <w:p w14:paraId="5971E973" w14:textId="77777777" w:rsidR="003F39D9" w:rsidRPr="00A17E7B" w:rsidRDefault="003F39D9" w:rsidP="00827561">
            <w:pPr>
              <w:pStyle w:val="Akapitzlist"/>
              <w:numPr>
                <w:ilvl w:val="0"/>
                <w:numId w:val="1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43D0D85" w14:textId="77CEF3F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Organizacja i nadzór nad zabiegiem, bieżący pomiar czasu trwania znieczulenia/intubacji/zabiegu na poszczególnych salach operacyjnych, rejestracja godziny przyjęcia pacjenta na salę, rozpoczęcia i zakończenia znieczulenia, intubacji, zabiegu.</w:t>
            </w:r>
          </w:p>
        </w:tc>
        <w:tc>
          <w:tcPr>
            <w:tcW w:w="944" w:type="pct"/>
          </w:tcPr>
          <w:p w14:paraId="4EB4113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5A6846A" w14:textId="6D048CDE" w:rsidTr="003F39D9">
        <w:trPr>
          <w:trHeight w:val="600"/>
        </w:trPr>
        <w:tc>
          <w:tcPr>
            <w:tcW w:w="306" w:type="pct"/>
          </w:tcPr>
          <w:p w14:paraId="19627184" w14:textId="77777777" w:rsidR="003F39D9" w:rsidRPr="00A17E7B" w:rsidRDefault="003F39D9" w:rsidP="00827561">
            <w:pPr>
              <w:pStyle w:val="Akapitzlist"/>
              <w:numPr>
                <w:ilvl w:val="0"/>
                <w:numId w:val="1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64EBC9B" w14:textId="0215CCE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Wprowadzanie na oś czasu znaczników zdarzeń poprzez wybór odpowiedniego przycisku na ekranie głównym. Wprowadzenie odbywa się poprzez jedno kliknięcie, a przyciski widoczne są cały czas na ekranie głównym.</w:t>
            </w:r>
          </w:p>
        </w:tc>
        <w:tc>
          <w:tcPr>
            <w:tcW w:w="944" w:type="pct"/>
          </w:tcPr>
          <w:p w14:paraId="629D1B7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1EF2BA9" w14:textId="40332641" w:rsidTr="003F39D9">
        <w:trPr>
          <w:trHeight w:val="600"/>
        </w:trPr>
        <w:tc>
          <w:tcPr>
            <w:tcW w:w="306" w:type="pct"/>
          </w:tcPr>
          <w:p w14:paraId="375BD92A" w14:textId="77777777" w:rsidR="003F39D9" w:rsidRPr="00A17E7B" w:rsidRDefault="003F39D9" w:rsidP="00827561">
            <w:pPr>
              <w:pStyle w:val="Akapitzlist"/>
              <w:numPr>
                <w:ilvl w:val="0"/>
                <w:numId w:val="1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032A4F6" w14:textId="70A9A64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Raport z monitorowania znieczulenia obrazujący m.in. dane z przebiegu znieczulenia wraz z graficzną prezentacją parametrów życiowych, podanych leków, bilansu płynów (dostosowywany zgodnie z potrzebami użytkownika) na jednej osi czasu.</w:t>
            </w:r>
          </w:p>
        </w:tc>
        <w:tc>
          <w:tcPr>
            <w:tcW w:w="944" w:type="pct"/>
          </w:tcPr>
          <w:p w14:paraId="054F61C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0FB9685" w14:textId="51670B26" w:rsidTr="003F39D9">
        <w:trPr>
          <w:trHeight w:val="1800"/>
        </w:trPr>
        <w:tc>
          <w:tcPr>
            <w:tcW w:w="306" w:type="pct"/>
          </w:tcPr>
          <w:p w14:paraId="75D562C0" w14:textId="77777777" w:rsidR="003F39D9" w:rsidRPr="00A17E7B" w:rsidRDefault="003F39D9" w:rsidP="00827561">
            <w:pPr>
              <w:pStyle w:val="Akapitzlist"/>
              <w:numPr>
                <w:ilvl w:val="0"/>
                <w:numId w:val="1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F6AD85F" w14:textId="59A6FA1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Listy kontrolne: </w:t>
            </w:r>
            <w:r w:rsidRPr="00A17E7B">
              <w:rPr>
                <w:rFonts w:ascii="Calibri" w:eastAsia="Times New Roman" w:hAnsi="Calibri" w:cs="Calibri"/>
                <w:color w:val="000001"/>
                <w:kern w:val="0"/>
                <w:sz w:val="22"/>
                <w:szCs w:val="22"/>
                <w:lang w:eastAsia="pl-PL"/>
                <w14:ligatures w14:val="none"/>
              </w:rPr>
              <w:br/>
              <w:t>- Lista kontrolna konsultacji anestezjologicznej</w:t>
            </w:r>
            <w:r w:rsidRPr="00A17E7B">
              <w:rPr>
                <w:rFonts w:ascii="Calibri" w:eastAsia="Times New Roman" w:hAnsi="Calibri" w:cs="Calibri"/>
                <w:color w:val="000001"/>
                <w:kern w:val="0"/>
                <w:sz w:val="22"/>
                <w:szCs w:val="22"/>
                <w:lang w:eastAsia="pl-PL"/>
                <w14:ligatures w14:val="none"/>
              </w:rPr>
              <w:br/>
              <w:t>- Lista kontrolna oceny przedoperacyjnej</w:t>
            </w:r>
            <w:r w:rsidRPr="00A17E7B">
              <w:rPr>
                <w:rFonts w:ascii="Calibri" w:eastAsia="Times New Roman" w:hAnsi="Calibri" w:cs="Calibri"/>
                <w:color w:val="000001"/>
                <w:kern w:val="0"/>
                <w:sz w:val="22"/>
                <w:szCs w:val="22"/>
                <w:lang w:eastAsia="pl-PL"/>
                <w14:ligatures w14:val="none"/>
              </w:rPr>
              <w:br/>
              <w:t>- Lista kontrolna sprzętu przed rozpoczęciem znieczulenia</w:t>
            </w:r>
            <w:r w:rsidRPr="00A17E7B">
              <w:rPr>
                <w:rFonts w:ascii="Calibri" w:eastAsia="Times New Roman" w:hAnsi="Calibri" w:cs="Calibri"/>
                <w:color w:val="000001"/>
                <w:kern w:val="0"/>
                <w:sz w:val="22"/>
                <w:szCs w:val="22"/>
                <w:lang w:eastAsia="pl-PL"/>
                <w14:ligatures w14:val="none"/>
              </w:rPr>
              <w:br/>
              <w:t>- Okołooperacyjna karta kontrolna</w:t>
            </w:r>
            <w:r w:rsidRPr="00A17E7B">
              <w:rPr>
                <w:rFonts w:ascii="Calibri" w:eastAsia="Times New Roman" w:hAnsi="Calibri" w:cs="Calibri"/>
                <w:color w:val="000001"/>
                <w:kern w:val="0"/>
                <w:sz w:val="22"/>
                <w:szCs w:val="22"/>
                <w:lang w:eastAsia="pl-PL"/>
                <w14:ligatures w14:val="none"/>
              </w:rPr>
              <w:br/>
              <w:t>- Definicja własnej listy kontrolnej, specyficznej dla użytkownika</w:t>
            </w:r>
          </w:p>
        </w:tc>
        <w:tc>
          <w:tcPr>
            <w:tcW w:w="944" w:type="pct"/>
          </w:tcPr>
          <w:p w14:paraId="7923944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34CCF139" w14:textId="18811805" w:rsidR="00586E7F" w:rsidRDefault="00586E7F"/>
    <w:p w14:paraId="2B8343DF" w14:textId="77777777" w:rsidR="00586E7F" w:rsidRDefault="00586E7F">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4E11A8E4" w14:textId="3D1442A2" w:rsidTr="00586E7F">
        <w:trPr>
          <w:cantSplit/>
          <w:trHeight w:val="300"/>
        </w:trPr>
        <w:tc>
          <w:tcPr>
            <w:tcW w:w="4056" w:type="pct"/>
            <w:gridSpan w:val="2"/>
          </w:tcPr>
          <w:p w14:paraId="10EC2344" w14:textId="62303702"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lastRenderedPageBreak/>
              <w:t>Nadzór po znieczuleniu</w:t>
            </w:r>
          </w:p>
        </w:tc>
        <w:tc>
          <w:tcPr>
            <w:tcW w:w="944" w:type="pct"/>
          </w:tcPr>
          <w:p w14:paraId="4D4D216F"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22E00BFC" w14:textId="23087E56" w:rsidTr="00586E7F">
        <w:trPr>
          <w:cantSplit/>
          <w:trHeight w:val="3300"/>
        </w:trPr>
        <w:tc>
          <w:tcPr>
            <w:tcW w:w="306" w:type="pct"/>
          </w:tcPr>
          <w:p w14:paraId="770FEAE8"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6890DB8" w14:textId="10AC066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posiada zaimplementowany zestaw </w:t>
            </w:r>
            <w:proofErr w:type="spellStart"/>
            <w:r w:rsidRPr="00A17E7B">
              <w:rPr>
                <w:rFonts w:ascii="Calibri" w:eastAsia="Times New Roman" w:hAnsi="Calibri" w:cs="Calibri"/>
                <w:color w:val="000001"/>
                <w:kern w:val="0"/>
                <w:sz w:val="22"/>
                <w:szCs w:val="22"/>
                <w:lang w:eastAsia="pl-PL"/>
                <w14:ligatures w14:val="none"/>
              </w:rPr>
              <w:t>skal</w:t>
            </w:r>
            <w:proofErr w:type="spellEnd"/>
            <w:r w:rsidRPr="00A17E7B">
              <w:rPr>
                <w:rFonts w:ascii="Calibri" w:eastAsia="Times New Roman" w:hAnsi="Calibri" w:cs="Calibri"/>
                <w:color w:val="000001"/>
                <w:kern w:val="0"/>
                <w:sz w:val="22"/>
                <w:szCs w:val="22"/>
                <w:lang w:eastAsia="pl-PL"/>
                <w14:ligatures w14:val="none"/>
              </w:rPr>
              <w:t xml:space="preserve"> ocen ryzyka dla pacjenta, w tym minimum:</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Braden</w:t>
            </w:r>
            <w:proofErr w:type="spellEnd"/>
            <w:r w:rsidRPr="00A17E7B">
              <w:rPr>
                <w:rFonts w:ascii="Calibri" w:eastAsia="Times New Roman" w:hAnsi="Calibri" w:cs="Calibri"/>
                <w:color w:val="000001"/>
                <w:kern w:val="0"/>
                <w:sz w:val="22"/>
                <w:szCs w:val="22"/>
                <w:lang w:eastAsia="pl-PL"/>
                <w14:ligatures w14:val="none"/>
              </w:rPr>
              <w:br/>
              <w:t>- Kliniczna skala słabości</w:t>
            </w:r>
            <w:r w:rsidRPr="00A17E7B">
              <w:rPr>
                <w:rFonts w:ascii="Calibri" w:eastAsia="Times New Roman" w:hAnsi="Calibri" w:cs="Calibri"/>
                <w:color w:val="000001"/>
                <w:kern w:val="0"/>
                <w:sz w:val="22"/>
                <w:szCs w:val="22"/>
                <w:lang w:eastAsia="pl-PL"/>
                <w14:ligatures w14:val="none"/>
              </w:rPr>
              <w:br/>
              <w:t>- Douglas</w:t>
            </w:r>
            <w:r w:rsidRPr="00A17E7B">
              <w:rPr>
                <w:rFonts w:ascii="Calibri" w:eastAsia="Times New Roman" w:hAnsi="Calibri" w:cs="Calibri"/>
                <w:color w:val="000001"/>
                <w:kern w:val="0"/>
                <w:sz w:val="22"/>
                <w:szCs w:val="22"/>
                <w:lang w:eastAsia="pl-PL"/>
                <w14:ligatures w14:val="none"/>
              </w:rPr>
              <w:br/>
              <w:t>- GBS</w:t>
            </w:r>
            <w:r w:rsidRPr="00A17E7B">
              <w:rPr>
                <w:rFonts w:ascii="Calibri" w:eastAsia="Times New Roman" w:hAnsi="Calibri" w:cs="Calibri"/>
                <w:color w:val="000001"/>
                <w:kern w:val="0"/>
                <w:sz w:val="22"/>
                <w:szCs w:val="22"/>
                <w:lang w:eastAsia="pl-PL"/>
                <w14:ligatures w14:val="none"/>
              </w:rPr>
              <w:br/>
              <w:t>- Kryteria ISTH dla DIC</w:t>
            </w:r>
            <w:r w:rsidRPr="00A17E7B">
              <w:rPr>
                <w:rFonts w:ascii="Calibri" w:eastAsia="Times New Roman" w:hAnsi="Calibri" w:cs="Calibri"/>
                <w:color w:val="000001"/>
                <w:kern w:val="0"/>
                <w:sz w:val="22"/>
                <w:szCs w:val="22"/>
                <w:lang w:eastAsia="pl-PL"/>
                <w14:ligatures w14:val="none"/>
              </w:rPr>
              <w:br/>
              <w:t>- Norton</w:t>
            </w:r>
            <w:r w:rsidRPr="00A17E7B">
              <w:rPr>
                <w:rFonts w:ascii="Calibri" w:eastAsia="Times New Roman" w:hAnsi="Calibri" w:cs="Calibri"/>
                <w:color w:val="000001"/>
                <w:kern w:val="0"/>
                <w:sz w:val="22"/>
                <w:szCs w:val="22"/>
                <w:lang w:eastAsia="pl-PL"/>
                <w14:ligatures w14:val="none"/>
              </w:rPr>
              <w:br/>
              <w:t xml:space="preserve">- Skala </w:t>
            </w:r>
            <w:proofErr w:type="spellStart"/>
            <w:r w:rsidRPr="00A17E7B">
              <w:rPr>
                <w:rFonts w:ascii="Calibri" w:eastAsia="Times New Roman" w:hAnsi="Calibri" w:cs="Calibri"/>
                <w:color w:val="000001"/>
                <w:kern w:val="0"/>
                <w:sz w:val="22"/>
                <w:szCs w:val="22"/>
                <w:lang w:eastAsia="pl-PL"/>
                <w14:ligatures w14:val="none"/>
              </w:rPr>
              <w:t>Rockalla</w:t>
            </w:r>
            <w:proofErr w:type="spellEnd"/>
            <w:r w:rsidRPr="00A17E7B">
              <w:rPr>
                <w:rFonts w:ascii="Calibri" w:eastAsia="Times New Roman" w:hAnsi="Calibri" w:cs="Calibri"/>
                <w:color w:val="000001"/>
                <w:kern w:val="0"/>
                <w:sz w:val="22"/>
                <w:szCs w:val="22"/>
                <w:lang w:eastAsia="pl-PL"/>
                <w14:ligatures w14:val="none"/>
              </w:rPr>
              <w:br/>
              <w:t>- SIRS, sepsa i kryteria wstrząsu septycznego</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Waterlow</w:t>
            </w:r>
            <w:proofErr w:type="spellEnd"/>
          </w:p>
        </w:tc>
        <w:tc>
          <w:tcPr>
            <w:tcW w:w="944" w:type="pct"/>
          </w:tcPr>
          <w:p w14:paraId="17E3690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BDD75C6" w14:textId="0A403B4F" w:rsidTr="00586E7F">
        <w:trPr>
          <w:cantSplit/>
          <w:trHeight w:val="1800"/>
        </w:trPr>
        <w:tc>
          <w:tcPr>
            <w:tcW w:w="306" w:type="pct"/>
          </w:tcPr>
          <w:p w14:paraId="60967A0A"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838889C" w14:textId="38B3B0E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Zaimplementowane skale ocen stanu pacjenta, co najmniej:</w:t>
            </w:r>
            <w:r w:rsidRPr="00A17E7B">
              <w:rPr>
                <w:rFonts w:ascii="Calibri" w:eastAsia="Times New Roman" w:hAnsi="Calibri" w:cs="Calibri"/>
                <w:color w:val="000001"/>
                <w:kern w:val="0"/>
                <w:sz w:val="22"/>
                <w:szCs w:val="22"/>
                <w:lang w:eastAsia="pl-PL"/>
                <w14:ligatures w14:val="none"/>
              </w:rPr>
              <w:br/>
              <w:t>- TISS-28</w:t>
            </w:r>
            <w:r w:rsidRPr="00A17E7B">
              <w:rPr>
                <w:rFonts w:ascii="Calibri" w:eastAsia="Times New Roman" w:hAnsi="Calibri" w:cs="Calibri"/>
                <w:color w:val="000001"/>
                <w:kern w:val="0"/>
                <w:sz w:val="22"/>
                <w:szCs w:val="22"/>
                <w:lang w:eastAsia="pl-PL"/>
                <w14:ligatures w14:val="none"/>
              </w:rPr>
              <w:br/>
              <w:t>- Apache II</w:t>
            </w:r>
            <w:r w:rsidRPr="00A17E7B">
              <w:rPr>
                <w:rFonts w:ascii="Calibri" w:eastAsia="Times New Roman" w:hAnsi="Calibri" w:cs="Calibri"/>
                <w:color w:val="000001"/>
                <w:kern w:val="0"/>
                <w:sz w:val="22"/>
                <w:szCs w:val="22"/>
                <w:lang w:eastAsia="pl-PL"/>
                <w14:ligatures w14:val="none"/>
              </w:rPr>
              <w:br/>
              <w:t>- SAPS II</w:t>
            </w:r>
            <w:r w:rsidRPr="00A17E7B">
              <w:rPr>
                <w:rFonts w:ascii="Calibri" w:eastAsia="Times New Roman" w:hAnsi="Calibri" w:cs="Calibri"/>
                <w:color w:val="000001"/>
                <w:kern w:val="0"/>
                <w:sz w:val="22"/>
                <w:szCs w:val="22"/>
                <w:lang w:eastAsia="pl-PL"/>
                <w14:ligatures w14:val="none"/>
              </w:rPr>
              <w:br/>
              <w:t>- SOFA</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qSOFA</w:t>
            </w:r>
            <w:proofErr w:type="spellEnd"/>
          </w:p>
        </w:tc>
        <w:tc>
          <w:tcPr>
            <w:tcW w:w="944" w:type="pct"/>
          </w:tcPr>
          <w:p w14:paraId="5D30076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C5BEC14" w14:textId="16992C73" w:rsidTr="003F39D9">
        <w:trPr>
          <w:trHeight w:val="2400"/>
        </w:trPr>
        <w:tc>
          <w:tcPr>
            <w:tcW w:w="306" w:type="pct"/>
          </w:tcPr>
          <w:p w14:paraId="05612B85"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9FC3A77" w14:textId="07D4AF9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Zaimplementowane skale ocen dróg oddechowych, co najmniej:</w:t>
            </w:r>
            <w:r w:rsidRPr="00A17E7B">
              <w:rPr>
                <w:rFonts w:ascii="Calibri" w:eastAsia="Times New Roman" w:hAnsi="Calibri" w:cs="Calibri"/>
                <w:color w:val="000001"/>
                <w:kern w:val="0"/>
                <w:sz w:val="22"/>
                <w:szCs w:val="22"/>
                <w:lang w:eastAsia="pl-PL"/>
                <w14:ligatures w14:val="none"/>
              </w:rPr>
              <w:br/>
              <w:t>- Cormack-</w:t>
            </w:r>
            <w:proofErr w:type="spellStart"/>
            <w:r w:rsidRPr="00A17E7B">
              <w:rPr>
                <w:rFonts w:ascii="Calibri" w:eastAsia="Times New Roman" w:hAnsi="Calibri" w:cs="Calibri"/>
                <w:color w:val="000001"/>
                <w:kern w:val="0"/>
                <w:sz w:val="22"/>
                <w:szCs w:val="22"/>
                <w:lang w:eastAsia="pl-PL"/>
                <w14:ligatures w14:val="none"/>
              </w:rPr>
              <w:t>Lehane</w:t>
            </w:r>
            <w:proofErr w:type="spellEnd"/>
            <w:r w:rsidRPr="00A17E7B">
              <w:rPr>
                <w:rFonts w:ascii="Calibri" w:eastAsia="Times New Roman" w:hAnsi="Calibri" w:cs="Calibri"/>
                <w:color w:val="000001"/>
                <w:kern w:val="0"/>
                <w:sz w:val="22"/>
                <w:szCs w:val="22"/>
                <w:lang w:eastAsia="pl-PL"/>
                <w14:ligatures w14:val="none"/>
              </w:rPr>
              <w:t xml:space="preserve"> (zmodyfikowana)</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Mallampati</w:t>
            </w:r>
            <w:proofErr w:type="spellEnd"/>
            <w:r w:rsidRPr="00A17E7B">
              <w:rPr>
                <w:rFonts w:ascii="Calibri" w:eastAsia="Times New Roman" w:hAnsi="Calibri" w:cs="Calibri"/>
                <w:color w:val="000001"/>
                <w:kern w:val="0"/>
                <w:sz w:val="22"/>
                <w:szCs w:val="22"/>
                <w:lang w:eastAsia="pl-PL"/>
                <w14:ligatures w14:val="none"/>
              </w:rPr>
              <w:t xml:space="preserve"> (zmodyfikowana)</w:t>
            </w:r>
            <w:r w:rsidRPr="00A17E7B">
              <w:rPr>
                <w:rFonts w:ascii="Calibri" w:eastAsia="Times New Roman" w:hAnsi="Calibri" w:cs="Calibri"/>
                <w:color w:val="000001"/>
                <w:kern w:val="0"/>
                <w:sz w:val="22"/>
                <w:szCs w:val="22"/>
                <w:lang w:eastAsia="pl-PL"/>
                <w14:ligatures w14:val="none"/>
              </w:rPr>
              <w:br/>
              <w:t>- Murray</w:t>
            </w:r>
            <w:r w:rsidRPr="00A17E7B">
              <w:rPr>
                <w:rFonts w:ascii="Calibri" w:eastAsia="Times New Roman" w:hAnsi="Calibri" w:cs="Calibri"/>
                <w:color w:val="000001"/>
                <w:kern w:val="0"/>
                <w:sz w:val="22"/>
                <w:szCs w:val="22"/>
                <w:lang w:eastAsia="pl-PL"/>
                <w14:ligatures w14:val="none"/>
              </w:rPr>
              <w:br/>
              <w:t xml:space="preserve">- RESP (Respiratory ECMO </w:t>
            </w:r>
            <w:proofErr w:type="spellStart"/>
            <w:r w:rsidRPr="00A17E7B">
              <w:rPr>
                <w:rFonts w:ascii="Calibri" w:eastAsia="Times New Roman" w:hAnsi="Calibri" w:cs="Calibri"/>
                <w:color w:val="000001"/>
                <w:kern w:val="0"/>
                <w:sz w:val="22"/>
                <w:szCs w:val="22"/>
                <w:lang w:eastAsia="pl-PL"/>
                <w14:ligatures w14:val="none"/>
              </w:rPr>
              <w:t>Survival</w:t>
            </w:r>
            <w:proofErr w:type="spellEnd"/>
            <w:r w:rsidRPr="00A17E7B">
              <w:rPr>
                <w:rFonts w:ascii="Calibri" w:eastAsia="Times New Roman" w:hAnsi="Calibri" w:cs="Calibri"/>
                <w:color w:val="000001"/>
                <w:kern w:val="0"/>
                <w:sz w:val="22"/>
                <w:szCs w:val="22"/>
                <w:lang w:eastAsia="pl-PL"/>
                <w14:ligatures w14:val="none"/>
              </w:rPr>
              <w:t xml:space="preserve"> </w:t>
            </w:r>
            <w:proofErr w:type="spellStart"/>
            <w:r w:rsidRPr="00A17E7B">
              <w:rPr>
                <w:rFonts w:ascii="Calibri" w:eastAsia="Times New Roman" w:hAnsi="Calibri" w:cs="Calibri"/>
                <w:color w:val="000001"/>
                <w:kern w:val="0"/>
                <w:sz w:val="22"/>
                <w:szCs w:val="22"/>
                <w:lang w:eastAsia="pl-PL"/>
                <w14:ligatures w14:val="none"/>
              </w:rPr>
              <w:t>Prediction</w:t>
            </w:r>
            <w:proofErr w:type="spellEnd"/>
            <w:r w:rsidRPr="00A17E7B">
              <w:rPr>
                <w:rFonts w:ascii="Calibri" w:eastAsia="Times New Roman" w:hAnsi="Calibri" w:cs="Calibri"/>
                <w:color w:val="000001"/>
                <w:kern w:val="0"/>
                <w:sz w:val="22"/>
                <w:szCs w:val="22"/>
                <w:lang w:eastAsia="pl-PL"/>
                <w14:ligatures w14:val="none"/>
              </w:rPr>
              <w:t>)</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mMRC</w:t>
            </w:r>
            <w:proofErr w:type="spellEnd"/>
            <w:r w:rsidRPr="00A17E7B">
              <w:rPr>
                <w:rFonts w:ascii="Calibri" w:eastAsia="Times New Roman" w:hAnsi="Calibri" w:cs="Calibri"/>
                <w:color w:val="000001"/>
                <w:kern w:val="0"/>
                <w:sz w:val="22"/>
                <w:szCs w:val="22"/>
                <w:lang w:eastAsia="pl-PL"/>
                <w14:ligatures w14:val="none"/>
              </w:rPr>
              <w:br/>
              <w:t xml:space="preserve">- skala Borga (Borg </w:t>
            </w:r>
            <w:proofErr w:type="spellStart"/>
            <w:r w:rsidRPr="00A17E7B">
              <w:rPr>
                <w:rFonts w:ascii="Calibri" w:eastAsia="Times New Roman" w:hAnsi="Calibri" w:cs="Calibri"/>
                <w:color w:val="000001"/>
                <w:kern w:val="0"/>
                <w:sz w:val="22"/>
                <w:szCs w:val="22"/>
                <w:lang w:eastAsia="pl-PL"/>
                <w14:ligatures w14:val="none"/>
              </w:rPr>
              <w:t>Breathlessness</w:t>
            </w:r>
            <w:proofErr w:type="spellEnd"/>
            <w:r w:rsidRPr="00A17E7B">
              <w:rPr>
                <w:rFonts w:ascii="Calibri" w:eastAsia="Times New Roman" w:hAnsi="Calibri" w:cs="Calibri"/>
                <w:color w:val="000001"/>
                <w:kern w:val="0"/>
                <w:sz w:val="22"/>
                <w:szCs w:val="22"/>
                <w:lang w:eastAsia="pl-PL"/>
                <w14:ligatures w14:val="none"/>
              </w:rPr>
              <w:t xml:space="preserve"> </w:t>
            </w:r>
            <w:proofErr w:type="spellStart"/>
            <w:r w:rsidRPr="00A17E7B">
              <w:rPr>
                <w:rFonts w:ascii="Calibri" w:eastAsia="Times New Roman" w:hAnsi="Calibri" w:cs="Calibri"/>
                <w:color w:val="000001"/>
                <w:kern w:val="0"/>
                <w:sz w:val="22"/>
                <w:szCs w:val="22"/>
                <w:lang w:eastAsia="pl-PL"/>
                <w14:ligatures w14:val="none"/>
              </w:rPr>
              <w:t>Scale</w:t>
            </w:r>
            <w:proofErr w:type="spellEnd"/>
            <w:r w:rsidRPr="00A17E7B">
              <w:rPr>
                <w:rFonts w:ascii="Calibri" w:eastAsia="Times New Roman" w:hAnsi="Calibri" w:cs="Calibri"/>
                <w:color w:val="000001"/>
                <w:kern w:val="0"/>
                <w:sz w:val="22"/>
                <w:szCs w:val="22"/>
                <w:lang w:eastAsia="pl-PL"/>
                <w14:ligatures w14:val="none"/>
              </w:rPr>
              <w:t>)</w:t>
            </w:r>
            <w:r w:rsidRPr="00A17E7B">
              <w:rPr>
                <w:rFonts w:ascii="Calibri" w:eastAsia="Times New Roman" w:hAnsi="Calibri" w:cs="Calibri"/>
                <w:color w:val="000001"/>
                <w:kern w:val="0"/>
                <w:sz w:val="22"/>
                <w:szCs w:val="22"/>
                <w:lang w:eastAsia="pl-PL"/>
                <w14:ligatures w14:val="none"/>
              </w:rPr>
              <w:br/>
              <w:t>- indeks ROX</w:t>
            </w:r>
          </w:p>
        </w:tc>
        <w:tc>
          <w:tcPr>
            <w:tcW w:w="944" w:type="pct"/>
          </w:tcPr>
          <w:p w14:paraId="0D4B016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FBBBB1E" w14:textId="1182C802" w:rsidTr="003F39D9">
        <w:trPr>
          <w:trHeight w:val="3300"/>
        </w:trPr>
        <w:tc>
          <w:tcPr>
            <w:tcW w:w="306" w:type="pct"/>
          </w:tcPr>
          <w:p w14:paraId="596B581D"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D7C970D" w14:textId="7BCF43D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Zaimplementowane skale do oceny stanu układu krążenia, co najmniej:</w:t>
            </w:r>
            <w:r w:rsidRPr="00A17E7B">
              <w:rPr>
                <w:rFonts w:ascii="Calibri" w:eastAsia="Times New Roman" w:hAnsi="Calibri" w:cs="Calibri"/>
                <w:color w:val="000001"/>
                <w:kern w:val="0"/>
                <w:sz w:val="22"/>
                <w:szCs w:val="22"/>
                <w:lang w:eastAsia="pl-PL"/>
                <w14:ligatures w14:val="none"/>
              </w:rPr>
              <w:br/>
              <w:t>- ACEF II</w:t>
            </w:r>
            <w:r w:rsidRPr="00A17E7B">
              <w:rPr>
                <w:rFonts w:ascii="Calibri" w:eastAsia="Times New Roman" w:hAnsi="Calibri" w:cs="Calibri"/>
                <w:color w:val="000001"/>
                <w:kern w:val="0"/>
                <w:sz w:val="22"/>
                <w:szCs w:val="22"/>
                <w:lang w:eastAsia="pl-PL"/>
                <w14:ligatures w14:val="none"/>
              </w:rPr>
              <w:br/>
              <w:t>- ADHERE</w:t>
            </w:r>
            <w:r w:rsidRPr="00A17E7B">
              <w:rPr>
                <w:rFonts w:ascii="Calibri" w:eastAsia="Times New Roman" w:hAnsi="Calibri" w:cs="Calibri"/>
                <w:color w:val="000001"/>
                <w:kern w:val="0"/>
                <w:sz w:val="22"/>
                <w:szCs w:val="22"/>
                <w:lang w:eastAsia="pl-PL"/>
                <w14:ligatures w14:val="none"/>
              </w:rPr>
              <w:br/>
              <w:t>- CHADS2 – VAS</w:t>
            </w:r>
            <w:r w:rsidRPr="00A17E7B">
              <w:rPr>
                <w:rFonts w:ascii="Calibri" w:eastAsia="Times New Roman" w:hAnsi="Calibri" w:cs="Calibri"/>
                <w:color w:val="000001"/>
                <w:kern w:val="0"/>
                <w:sz w:val="22"/>
                <w:szCs w:val="22"/>
                <w:lang w:eastAsia="pl-PL"/>
                <w14:ligatures w14:val="none"/>
              </w:rPr>
              <w:br/>
              <w:t>- Genewska zmodyfikowana</w:t>
            </w:r>
            <w:r w:rsidRPr="00A17E7B">
              <w:rPr>
                <w:rFonts w:ascii="Calibri" w:eastAsia="Times New Roman" w:hAnsi="Calibri" w:cs="Calibri"/>
                <w:color w:val="000001"/>
                <w:kern w:val="0"/>
                <w:sz w:val="22"/>
                <w:szCs w:val="22"/>
                <w:lang w:eastAsia="pl-PL"/>
                <w14:ligatures w14:val="none"/>
              </w:rPr>
              <w:br/>
              <w:t>- NYHA</w:t>
            </w:r>
            <w:r w:rsidRPr="00A17E7B">
              <w:rPr>
                <w:rFonts w:ascii="Calibri" w:eastAsia="Times New Roman" w:hAnsi="Calibri" w:cs="Calibri"/>
                <w:color w:val="000001"/>
                <w:kern w:val="0"/>
                <w:sz w:val="22"/>
                <w:szCs w:val="22"/>
                <w:lang w:eastAsia="pl-PL"/>
                <w14:ligatures w14:val="none"/>
              </w:rPr>
              <w:br/>
              <w:t>- Potrzeba stymulatora po operacji zastawki serca</w:t>
            </w:r>
            <w:r w:rsidRPr="00A17E7B">
              <w:rPr>
                <w:rFonts w:ascii="Calibri" w:eastAsia="Times New Roman" w:hAnsi="Calibri" w:cs="Calibri"/>
                <w:color w:val="000001"/>
                <w:kern w:val="0"/>
                <w:sz w:val="22"/>
                <w:szCs w:val="22"/>
                <w:lang w:eastAsia="pl-PL"/>
                <w14:ligatures w14:val="none"/>
              </w:rPr>
              <w:br/>
              <w:t>- Padewska</w:t>
            </w:r>
            <w:r w:rsidRPr="00A17E7B">
              <w:rPr>
                <w:rFonts w:ascii="Calibri" w:eastAsia="Times New Roman" w:hAnsi="Calibri" w:cs="Calibri"/>
                <w:color w:val="000001"/>
                <w:kern w:val="0"/>
                <w:sz w:val="22"/>
                <w:szCs w:val="22"/>
                <w:lang w:eastAsia="pl-PL"/>
                <w14:ligatures w14:val="none"/>
              </w:rPr>
              <w:br/>
              <w:t>- RISKE</w:t>
            </w:r>
            <w:r w:rsidRPr="00A17E7B">
              <w:rPr>
                <w:rFonts w:ascii="Calibri" w:eastAsia="Times New Roman" w:hAnsi="Calibri" w:cs="Calibri"/>
                <w:color w:val="000001"/>
                <w:kern w:val="0"/>
                <w:sz w:val="22"/>
                <w:szCs w:val="22"/>
                <w:lang w:eastAsia="pl-PL"/>
                <w14:ligatures w14:val="none"/>
              </w:rPr>
              <w:br/>
              <w:t>- SAVE</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Well’s</w:t>
            </w:r>
            <w:proofErr w:type="spellEnd"/>
          </w:p>
        </w:tc>
        <w:tc>
          <w:tcPr>
            <w:tcW w:w="944" w:type="pct"/>
          </w:tcPr>
          <w:p w14:paraId="613FAF8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D1A6267" w14:textId="633E57E3" w:rsidTr="003F39D9">
        <w:trPr>
          <w:trHeight w:val="3000"/>
        </w:trPr>
        <w:tc>
          <w:tcPr>
            <w:tcW w:w="306" w:type="pct"/>
          </w:tcPr>
          <w:p w14:paraId="1E64CFC0"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0064F3C" w14:textId="062040D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Zaimplementowane skale do oceny stanu neurologicznego, co najmniej:</w:t>
            </w:r>
            <w:r w:rsidRPr="00A17E7B">
              <w:rPr>
                <w:rFonts w:ascii="Calibri" w:eastAsia="Times New Roman" w:hAnsi="Calibri" w:cs="Calibri"/>
                <w:color w:val="000001"/>
                <w:kern w:val="0"/>
                <w:sz w:val="22"/>
                <w:szCs w:val="22"/>
                <w:lang w:eastAsia="pl-PL"/>
                <w14:ligatures w14:val="none"/>
              </w:rPr>
              <w:br/>
              <w:t>- RASS</w:t>
            </w:r>
            <w:r w:rsidRPr="00A17E7B">
              <w:rPr>
                <w:rFonts w:ascii="Calibri" w:eastAsia="Times New Roman" w:hAnsi="Calibri" w:cs="Calibri"/>
                <w:color w:val="000001"/>
                <w:kern w:val="0"/>
                <w:sz w:val="22"/>
                <w:szCs w:val="22"/>
                <w:lang w:eastAsia="pl-PL"/>
                <w14:ligatures w14:val="none"/>
              </w:rPr>
              <w:br/>
              <w:t>- Ramsay</w:t>
            </w:r>
            <w:r w:rsidRPr="00A17E7B">
              <w:rPr>
                <w:rFonts w:ascii="Calibri" w:eastAsia="Times New Roman" w:hAnsi="Calibri" w:cs="Calibri"/>
                <w:color w:val="000001"/>
                <w:kern w:val="0"/>
                <w:sz w:val="22"/>
                <w:szCs w:val="22"/>
                <w:lang w:eastAsia="pl-PL"/>
                <w14:ligatures w14:val="none"/>
              </w:rPr>
              <w:br/>
              <w:t>- FOUR</w:t>
            </w:r>
            <w:r w:rsidRPr="00A17E7B">
              <w:rPr>
                <w:rFonts w:ascii="Calibri" w:eastAsia="Times New Roman" w:hAnsi="Calibri" w:cs="Calibri"/>
                <w:color w:val="000001"/>
                <w:kern w:val="0"/>
                <w:sz w:val="22"/>
                <w:szCs w:val="22"/>
                <w:lang w:eastAsia="pl-PL"/>
                <w14:ligatures w14:val="none"/>
              </w:rPr>
              <w:br/>
              <w:t>- SAS</w:t>
            </w:r>
            <w:r w:rsidRPr="00A17E7B">
              <w:rPr>
                <w:rFonts w:ascii="Calibri" w:eastAsia="Times New Roman" w:hAnsi="Calibri" w:cs="Calibri"/>
                <w:color w:val="000001"/>
                <w:kern w:val="0"/>
                <w:sz w:val="22"/>
                <w:szCs w:val="22"/>
                <w:lang w:eastAsia="pl-PL"/>
                <w14:ligatures w14:val="none"/>
              </w:rPr>
              <w:br/>
              <w:t>- CAM-ICU</w:t>
            </w:r>
            <w:r w:rsidRPr="00A17E7B">
              <w:rPr>
                <w:rFonts w:ascii="Calibri" w:eastAsia="Times New Roman" w:hAnsi="Calibri" w:cs="Calibri"/>
                <w:color w:val="000001"/>
                <w:kern w:val="0"/>
                <w:sz w:val="22"/>
                <w:szCs w:val="22"/>
                <w:lang w:eastAsia="pl-PL"/>
                <w14:ligatures w14:val="none"/>
              </w:rPr>
              <w:br/>
              <w:t>- COWS</w:t>
            </w:r>
            <w:r w:rsidRPr="00A17E7B">
              <w:rPr>
                <w:rFonts w:ascii="Calibri" w:eastAsia="Times New Roman" w:hAnsi="Calibri" w:cs="Calibri"/>
                <w:color w:val="000001"/>
                <w:kern w:val="0"/>
                <w:sz w:val="22"/>
                <w:szCs w:val="22"/>
                <w:lang w:eastAsia="pl-PL"/>
                <w14:ligatures w14:val="none"/>
              </w:rPr>
              <w:br/>
              <w:t>- POSS</w:t>
            </w:r>
            <w:r w:rsidRPr="00A17E7B">
              <w:rPr>
                <w:rFonts w:ascii="Calibri" w:eastAsia="Times New Roman" w:hAnsi="Calibri" w:cs="Calibri"/>
                <w:color w:val="000001"/>
                <w:kern w:val="0"/>
                <w:sz w:val="22"/>
                <w:szCs w:val="22"/>
                <w:lang w:eastAsia="pl-PL"/>
                <w14:ligatures w14:val="none"/>
              </w:rPr>
              <w:br/>
              <w:t>- GCS</w:t>
            </w:r>
            <w:r w:rsidRPr="00A17E7B">
              <w:rPr>
                <w:rFonts w:ascii="Calibri" w:eastAsia="Times New Roman" w:hAnsi="Calibri" w:cs="Calibri"/>
                <w:color w:val="000001"/>
                <w:kern w:val="0"/>
                <w:sz w:val="22"/>
                <w:szCs w:val="22"/>
                <w:lang w:eastAsia="pl-PL"/>
                <w14:ligatures w14:val="none"/>
              </w:rPr>
              <w:br/>
              <w:t>- NIHSS</w:t>
            </w:r>
          </w:p>
        </w:tc>
        <w:tc>
          <w:tcPr>
            <w:tcW w:w="944" w:type="pct"/>
          </w:tcPr>
          <w:p w14:paraId="69BE8AF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FD05F3" w14:paraId="24EE9E92" w14:textId="4DE6D87D" w:rsidTr="003F39D9">
        <w:trPr>
          <w:trHeight w:val="1800"/>
        </w:trPr>
        <w:tc>
          <w:tcPr>
            <w:tcW w:w="306" w:type="pct"/>
          </w:tcPr>
          <w:p w14:paraId="60770C4E"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83DC655" w14:textId="1C82C973" w:rsidR="003F39D9" w:rsidRPr="00A17E7B" w:rsidRDefault="003F39D9" w:rsidP="003F39D9">
            <w:pPr>
              <w:spacing w:after="0" w:line="240" w:lineRule="auto"/>
              <w:rPr>
                <w:rFonts w:ascii="Calibri" w:eastAsia="Times New Roman" w:hAnsi="Calibri" w:cs="Calibri"/>
                <w:color w:val="000001"/>
                <w:kern w:val="0"/>
                <w:sz w:val="22"/>
                <w:szCs w:val="22"/>
                <w:lang w:val="en-US" w:eastAsia="pl-PL"/>
                <w14:ligatures w14:val="none"/>
              </w:rPr>
            </w:pPr>
            <w:proofErr w:type="spellStart"/>
            <w:r w:rsidRPr="00A17E7B">
              <w:rPr>
                <w:rFonts w:ascii="Calibri" w:eastAsia="Times New Roman" w:hAnsi="Calibri" w:cs="Calibri"/>
                <w:color w:val="000001"/>
                <w:kern w:val="0"/>
                <w:sz w:val="22"/>
                <w:szCs w:val="22"/>
                <w:lang w:val="en-US" w:eastAsia="pl-PL"/>
                <w14:ligatures w14:val="none"/>
              </w:rPr>
              <w:t>Zaimplementowane</w:t>
            </w:r>
            <w:proofErr w:type="spellEnd"/>
            <w:r w:rsidRPr="00A17E7B">
              <w:rPr>
                <w:rFonts w:ascii="Calibri" w:eastAsia="Times New Roman" w:hAnsi="Calibri" w:cs="Calibri"/>
                <w:color w:val="000001"/>
                <w:kern w:val="0"/>
                <w:sz w:val="22"/>
                <w:szCs w:val="22"/>
                <w:lang w:val="en-US" w:eastAsia="pl-PL"/>
                <w14:ligatures w14:val="none"/>
              </w:rPr>
              <w:t xml:space="preserve"> </w:t>
            </w:r>
            <w:proofErr w:type="spellStart"/>
            <w:r w:rsidRPr="00A17E7B">
              <w:rPr>
                <w:rFonts w:ascii="Calibri" w:eastAsia="Times New Roman" w:hAnsi="Calibri" w:cs="Calibri"/>
                <w:color w:val="000001"/>
                <w:kern w:val="0"/>
                <w:sz w:val="22"/>
                <w:szCs w:val="22"/>
                <w:lang w:val="en-US" w:eastAsia="pl-PL"/>
                <w14:ligatures w14:val="none"/>
              </w:rPr>
              <w:t>skale</w:t>
            </w:r>
            <w:proofErr w:type="spellEnd"/>
            <w:r w:rsidRPr="00A17E7B">
              <w:rPr>
                <w:rFonts w:ascii="Calibri" w:eastAsia="Times New Roman" w:hAnsi="Calibri" w:cs="Calibri"/>
                <w:color w:val="000001"/>
                <w:kern w:val="0"/>
                <w:sz w:val="22"/>
                <w:szCs w:val="22"/>
                <w:lang w:val="en-US" w:eastAsia="pl-PL"/>
                <w14:ligatures w14:val="none"/>
              </w:rPr>
              <w:t xml:space="preserve"> </w:t>
            </w:r>
            <w:proofErr w:type="spellStart"/>
            <w:r w:rsidRPr="00A17E7B">
              <w:rPr>
                <w:rFonts w:ascii="Calibri" w:eastAsia="Times New Roman" w:hAnsi="Calibri" w:cs="Calibri"/>
                <w:color w:val="000001"/>
                <w:kern w:val="0"/>
                <w:sz w:val="22"/>
                <w:szCs w:val="22"/>
                <w:lang w:val="en-US" w:eastAsia="pl-PL"/>
                <w14:ligatures w14:val="none"/>
              </w:rPr>
              <w:t>oceny</w:t>
            </w:r>
            <w:proofErr w:type="spellEnd"/>
            <w:r w:rsidRPr="00A17E7B">
              <w:rPr>
                <w:rFonts w:ascii="Calibri" w:eastAsia="Times New Roman" w:hAnsi="Calibri" w:cs="Calibri"/>
                <w:color w:val="000001"/>
                <w:kern w:val="0"/>
                <w:sz w:val="22"/>
                <w:szCs w:val="22"/>
                <w:lang w:val="en-US" w:eastAsia="pl-PL"/>
                <w14:ligatures w14:val="none"/>
              </w:rPr>
              <w:t xml:space="preserve"> </w:t>
            </w:r>
            <w:proofErr w:type="spellStart"/>
            <w:r w:rsidRPr="00A17E7B">
              <w:rPr>
                <w:rFonts w:ascii="Calibri" w:eastAsia="Times New Roman" w:hAnsi="Calibri" w:cs="Calibri"/>
                <w:color w:val="000001"/>
                <w:kern w:val="0"/>
                <w:sz w:val="22"/>
                <w:szCs w:val="22"/>
                <w:lang w:val="en-US" w:eastAsia="pl-PL"/>
                <w14:ligatures w14:val="none"/>
              </w:rPr>
              <w:t>bólu</w:t>
            </w:r>
            <w:proofErr w:type="spellEnd"/>
            <w:r w:rsidRPr="00A17E7B">
              <w:rPr>
                <w:rFonts w:ascii="Calibri" w:eastAsia="Times New Roman" w:hAnsi="Calibri" w:cs="Calibri"/>
                <w:color w:val="000001"/>
                <w:kern w:val="0"/>
                <w:sz w:val="22"/>
                <w:szCs w:val="22"/>
                <w:lang w:val="en-US" w:eastAsia="pl-PL"/>
                <w14:ligatures w14:val="none"/>
              </w:rPr>
              <w:t xml:space="preserve">, co </w:t>
            </w:r>
            <w:proofErr w:type="spellStart"/>
            <w:r w:rsidRPr="00A17E7B">
              <w:rPr>
                <w:rFonts w:ascii="Calibri" w:eastAsia="Times New Roman" w:hAnsi="Calibri" w:cs="Calibri"/>
                <w:color w:val="000001"/>
                <w:kern w:val="0"/>
                <w:sz w:val="22"/>
                <w:szCs w:val="22"/>
                <w:lang w:val="en-US" w:eastAsia="pl-PL"/>
                <w14:ligatures w14:val="none"/>
              </w:rPr>
              <w:t>najmniej</w:t>
            </w:r>
            <w:proofErr w:type="spellEnd"/>
            <w:r w:rsidRPr="00A17E7B">
              <w:rPr>
                <w:rFonts w:ascii="Calibri" w:eastAsia="Times New Roman" w:hAnsi="Calibri" w:cs="Calibri"/>
                <w:color w:val="000001"/>
                <w:kern w:val="0"/>
                <w:sz w:val="22"/>
                <w:szCs w:val="22"/>
                <w:lang w:val="en-US" w:eastAsia="pl-PL"/>
                <w14:ligatures w14:val="none"/>
              </w:rPr>
              <w:t>:</w:t>
            </w:r>
            <w:r w:rsidRPr="00A17E7B">
              <w:rPr>
                <w:rFonts w:ascii="Calibri" w:eastAsia="Times New Roman" w:hAnsi="Calibri" w:cs="Calibri"/>
                <w:color w:val="000001"/>
                <w:kern w:val="0"/>
                <w:sz w:val="22"/>
                <w:szCs w:val="22"/>
                <w:lang w:val="en-US" w:eastAsia="pl-PL"/>
                <w14:ligatures w14:val="none"/>
              </w:rPr>
              <w:br/>
              <w:t>- BPS (Behavioral Pain Scale)</w:t>
            </w:r>
            <w:r w:rsidRPr="00A17E7B">
              <w:rPr>
                <w:rFonts w:ascii="Calibri" w:eastAsia="Times New Roman" w:hAnsi="Calibri" w:cs="Calibri"/>
                <w:color w:val="000001"/>
                <w:kern w:val="0"/>
                <w:sz w:val="22"/>
                <w:szCs w:val="22"/>
                <w:lang w:val="en-US" w:eastAsia="pl-PL"/>
                <w14:ligatures w14:val="none"/>
              </w:rPr>
              <w:br/>
              <w:t>- VAS (Visual Analog Scale)</w:t>
            </w:r>
            <w:r w:rsidRPr="00A17E7B">
              <w:rPr>
                <w:rFonts w:ascii="Calibri" w:eastAsia="Times New Roman" w:hAnsi="Calibri" w:cs="Calibri"/>
                <w:color w:val="000001"/>
                <w:kern w:val="0"/>
                <w:sz w:val="22"/>
                <w:szCs w:val="22"/>
                <w:lang w:val="en-US" w:eastAsia="pl-PL"/>
                <w14:ligatures w14:val="none"/>
              </w:rPr>
              <w:br/>
              <w:t>- CPOT (Critical Pain Observation Tool)</w:t>
            </w:r>
            <w:r w:rsidRPr="00A17E7B">
              <w:rPr>
                <w:rFonts w:ascii="Calibri" w:eastAsia="Times New Roman" w:hAnsi="Calibri" w:cs="Calibri"/>
                <w:color w:val="000001"/>
                <w:kern w:val="0"/>
                <w:sz w:val="22"/>
                <w:szCs w:val="22"/>
                <w:lang w:val="en-US" w:eastAsia="pl-PL"/>
                <w14:ligatures w14:val="none"/>
              </w:rPr>
              <w:br/>
              <w:t>- NPRS (Numeric Pain Rating Scale)</w:t>
            </w:r>
            <w:r w:rsidRPr="00A17E7B">
              <w:rPr>
                <w:rFonts w:ascii="Calibri" w:eastAsia="Times New Roman" w:hAnsi="Calibri" w:cs="Calibri"/>
                <w:color w:val="000001"/>
                <w:kern w:val="0"/>
                <w:sz w:val="22"/>
                <w:szCs w:val="22"/>
                <w:lang w:val="en-US" w:eastAsia="pl-PL"/>
                <w14:ligatures w14:val="none"/>
              </w:rPr>
              <w:br/>
              <w:t>- NVPS (Nonverbal Pain Scale)</w:t>
            </w:r>
          </w:p>
        </w:tc>
        <w:tc>
          <w:tcPr>
            <w:tcW w:w="944" w:type="pct"/>
          </w:tcPr>
          <w:p w14:paraId="2C0BFF5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val="en-US" w:eastAsia="pl-PL"/>
                <w14:ligatures w14:val="none"/>
              </w:rPr>
            </w:pPr>
          </w:p>
        </w:tc>
      </w:tr>
      <w:tr w:rsidR="003F39D9" w:rsidRPr="00A17E7B" w14:paraId="27434DA0" w14:textId="634E79FA" w:rsidTr="003F39D9">
        <w:trPr>
          <w:trHeight w:val="900"/>
        </w:trPr>
        <w:tc>
          <w:tcPr>
            <w:tcW w:w="306" w:type="pct"/>
          </w:tcPr>
          <w:p w14:paraId="2D5817D0"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val="en-US" w:eastAsia="pl-PL"/>
                <w14:ligatures w14:val="none"/>
              </w:rPr>
            </w:pPr>
          </w:p>
        </w:tc>
        <w:tc>
          <w:tcPr>
            <w:tcW w:w="3750" w:type="pct"/>
            <w:vAlign w:val="center"/>
            <w:hideMark/>
          </w:tcPr>
          <w:p w14:paraId="71460BE5" w14:textId="521FE9C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Zaimplementowane skale oceny stanu nerek pacjenta, co najmniej: </w:t>
            </w:r>
            <w:r w:rsidRPr="00A17E7B">
              <w:rPr>
                <w:rFonts w:ascii="Calibri" w:eastAsia="Times New Roman" w:hAnsi="Calibri" w:cs="Calibri"/>
                <w:color w:val="000001"/>
                <w:kern w:val="0"/>
                <w:sz w:val="22"/>
                <w:szCs w:val="22"/>
                <w:lang w:eastAsia="pl-PL"/>
                <w14:ligatures w14:val="none"/>
              </w:rPr>
              <w:br/>
              <w:t xml:space="preserve">- RIFLE </w:t>
            </w:r>
            <w:r w:rsidRPr="00A17E7B">
              <w:rPr>
                <w:rFonts w:ascii="Calibri" w:eastAsia="Times New Roman" w:hAnsi="Calibri" w:cs="Calibri"/>
                <w:color w:val="000001"/>
                <w:kern w:val="0"/>
                <w:sz w:val="22"/>
                <w:szCs w:val="22"/>
                <w:lang w:eastAsia="pl-PL"/>
                <w14:ligatures w14:val="none"/>
              </w:rPr>
              <w:br/>
              <w:t>- AKIN</w:t>
            </w:r>
          </w:p>
        </w:tc>
        <w:tc>
          <w:tcPr>
            <w:tcW w:w="944" w:type="pct"/>
          </w:tcPr>
          <w:p w14:paraId="54AA447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C1B13E9" w14:textId="25729CA9" w:rsidTr="003F39D9">
        <w:trPr>
          <w:trHeight w:val="1800"/>
        </w:trPr>
        <w:tc>
          <w:tcPr>
            <w:tcW w:w="306" w:type="pct"/>
          </w:tcPr>
          <w:p w14:paraId="44AFA42D"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310F1DB" w14:textId="5443B62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Zaimplementowane skale dedykowane do oceny stanu pacjentów z Covid-19, co najmniej:</w:t>
            </w:r>
            <w:r w:rsidRPr="00A17E7B">
              <w:rPr>
                <w:rFonts w:ascii="Calibri" w:eastAsia="Times New Roman" w:hAnsi="Calibri" w:cs="Calibri"/>
                <w:color w:val="000001"/>
                <w:kern w:val="0"/>
                <w:sz w:val="22"/>
                <w:szCs w:val="22"/>
                <w:lang w:eastAsia="pl-PL"/>
                <w14:ligatures w14:val="none"/>
              </w:rPr>
              <w:br/>
              <w:t>- 4C</w:t>
            </w:r>
            <w:r w:rsidRPr="00A17E7B">
              <w:rPr>
                <w:rFonts w:ascii="Calibri" w:eastAsia="Times New Roman" w:hAnsi="Calibri" w:cs="Calibri"/>
                <w:color w:val="000001"/>
                <w:kern w:val="0"/>
                <w:sz w:val="22"/>
                <w:szCs w:val="22"/>
                <w:lang w:eastAsia="pl-PL"/>
                <w14:ligatures w14:val="none"/>
              </w:rPr>
              <w:br/>
              <w:t>- BCRSS</w:t>
            </w:r>
            <w:r w:rsidRPr="00A17E7B">
              <w:rPr>
                <w:rFonts w:ascii="Calibri" w:eastAsia="Times New Roman" w:hAnsi="Calibri" w:cs="Calibri"/>
                <w:color w:val="000001"/>
                <w:kern w:val="0"/>
                <w:sz w:val="22"/>
                <w:szCs w:val="22"/>
                <w:lang w:eastAsia="pl-PL"/>
                <w14:ligatures w14:val="none"/>
              </w:rPr>
              <w:br/>
              <w:t xml:space="preserve">- </w:t>
            </w:r>
            <w:proofErr w:type="spellStart"/>
            <w:r w:rsidRPr="00A17E7B">
              <w:rPr>
                <w:rFonts w:ascii="Calibri" w:eastAsia="Times New Roman" w:hAnsi="Calibri" w:cs="Calibri"/>
                <w:color w:val="000001"/>
                <w:kern w:val="0"/>
                <w:sz w:val="22"/>
                <w:szCs w:val="22"/>
                <w:lang w:eastAsia="pl-PL"/>
                <w14:ligatures w14:val="none"/>
              </w:rPr>
              <w:t>qCSI</w:t>
            </w:r>
            <w:proofErr w:type="spellEnd"/>
            <w:r w:rsidRPr="00A17E7B">
              <w:rPr>
                <w:rFonts w:ascii="Calibri" w:eastAsia="Times New Roman" w:hAnsi="Calibri" w:cs="Calibri"/>
                <w:color w:val="000001"/>
                <w:kern w:val="0"/>
                <w:sz w:val="22"/>
                <w:szCs w:val="22"/>
                <w:lang w:eastAsia="pl-PL"/>
                <w14:ligatures w14:val="none"/>
              </w:rPr>
              <w:br/>
              <w:t>- H-</w:t>
            </w:r>
            <w:proofErr w:type="spellStart"/>
            <w:r w:rsidRPr="00A17E7B">
              <w:rPr>
                <w:rFonts w:ascii="Calibri" w:eastAsia="Times New Roman" w:hAnsi="Calibri" w:cs="Calibri"/>
                <w:color w:val="000001"/>
                <w:kern w:val="0"/>
                <w:sz w:val="22"/>
                <w:szCs w:val="22"/>
                <w:lang w:eastAsia="pl-PL"/>
                <w14:ligatures w14:val="none"/>
              </w:rPr>
              <w:t>Score</w:t>
            </w:r>
            <w:proofErr w:type="spellEnd"/>
            <w:r w:rsidRPr="00A17E7B">
              <w:rPr>
                <w:rFonts w:ascii="Calibri" w:eastAsia="Times New Roman" w:hAnsi="Calibri" w:cs="Calibri"/>
                <w:color w:val="000001"/>
                <w:kern w:val="0"/>
                <w:sz w:val="22"/>
                <w:szCs w:val="22"/>
                <w:lang w:eastAsia="pl-PL"/>
                <w14:ligatures w14:val="none"/>
              </w:rPr>
              <w:br/>
              <w:t>- Horowitz Index</w:t>
            </w:r>
          </w:p>
        </w:tc>
        <w:tc>
          <w:tcPr>
            <w:tcW w:w="944" w:type="pct"/>
          </w:tcPr>
          <w:p w14:paraId="38F0B6C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F7C2508" w14:textId="3290D62A" w:rsidTr="003F39D9">
        <w:trPr>
          <w:trHeight w:val="300"/>
        </w:trPr>
        <w:tc>
          <w:tcPr>
            <w:tcW w:w="306" w:type="pct"/>
          </w:tcPr>
          <w:p w14:paraId="48CDA6D9"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CC15238" w14:textId="09BD936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wsparcia doboru dawek leków pod kątem wydolności nerek i GFR.</w:t>
            </w:r>
          </w:p>
        </w:tc>
        <w:tc>
          <w:tcPr>
            <w:tcW w:w="944" w:type="pct"/>
          </w:tcPr>
          <w:p w14:paraId="7974E47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E37ECAE" w14:textId="146CC56E" w:rsidTr="003F39D9">
        <w:trPr>
          <w:trHeight w:val="2400"/>
        </w:trPr>
        <w:tc>
          <w:tcPr>
            <w:tcW w:w="306" w:type="pct"/>
          </w:tcPr>
          <w:p w14:paraId="0B1CF0DF"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8A572F4" w14:textId="14869C0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Zaawansowane funkcje planowania, zlecania i zarządzania zadaniami i procesami. Dostępne formularze dedykowane dla zleceń dotyczących m.in.:</w:t>
            </w:r>
            <w:r w:rsidRPr="00A17E7B">
              <w:rPr>
                <w:rFonts w:ascii="Calibri" w:eastAsia="Times New Roman" w:hAnsi="Calibri" w:cs="Calibri"/>
                <w:color w:val="000001"/>
                <w:kern w:val="0"/>
                <w:sz w:val="22"/>
                <w:szCs w:val="22"/>
                <w:lang w:eastAsia="pl-PL"/>
                <w14:ligatures w14:val="none"/>
              </w:rPr>
              <w:br/>
              <w:t xml:space="preserve">- dróg oddechowych i wentylacji (m.in intubacja, ocena gotowości do </w:t>
            </w:r>
            <w:proofErr w:type="spellStart"/>
            <w:r w:rsidRPr="00A17E7B">
              <w:rPr>
                <w:rFonts w:ascii="Calibri" w:eastAsia="Times New Roman" w:hAnsi="Calibri" w:cs="Calibri"/>
                <w:color w:val="000001"/>
                <w:kern w:val="0"/>
                <w:sz w:val="22"/>
                <w:szCs w:val="22"/>
                <w:lang w:eastAsia="pl-PL"/>
                <w14:ligatures w14:val="none"/>
              </w:rPr>
              <w:t>ekstubacji</w:t>
            </w:r>
            <w:proofErr w:type="spellEnd"/>
            <w:r w:rsidRPr="00A17E7B">
              <w:rPr>
                <w:rFonts w:ascii="Calibri" w:eastAsia="Times New Roman" w:hAnsi="Calibri" w:cs="Calibri"/>
                <w:color w:val="000001"/>
                <w:kern w:val="0"/>
                <w:sz w:val="22"/>
                <w:szCs w:val="22"/>
                <w:lang w:eastAsia="pl-PL"/>
                <w14:ligatures w14:val="none"/>
              </w:rPr>
              <w:t>, tracheostomia, USG płuc, bronchoskopia)</w:t>
            </w:r>
            <w:r w:rsidRPr="00A17E7B">
              <w:rPr>
                <w:rFonts w:ascii="Calibri" w:eastAsia="Times New Roman" w:hAnsi="Calibri" w:cs="Calibri"/>
                <w:color w:val="000001"/>
                <w:kern w:val="0"/>
                <w:sz w:val="22"/>
                <w:szCs w:val="22"/>
                <w:lang w:eastAsia="pl-PL"/>
                <w14:ligatures w14:val="none"/>
              </w:rPr>
              <w:br/>
              <w:t>- dializ</w:t>
            </w:r>
            <w:r w:rsidRPr="00A17E7B">
              <w:rPr>
                <w:rFonts w:ascii="Calibri" w:eastAsia="Times New Roman" w:hAnsi="Calibri" w:cs="Calibri"/>
                <w:color w:val="000001"/>
                <w:kern w:val="0"/>
                <w:sz w:val="22"/>
                <w:szCs w:val="22"/>
                <w:lang w:eastAsia="pl-PL"/>
                <w14:ligatures w14:val="none"/>
              </w:rPr>
              <w:br/>
              <w:t>- wkłuć i cewników</w:t>
            </w:r>
            <w:r w:rsidRPr="00A17E7B">
              <w:rPr>
                <w:rFonts w:ascii="Calibri" w:eastAsia="Times New Roman" w:hAnsi="Calibri" w:cs="Calibri"/>
                <w:color w:val="000001"/>
                <w:kern w:val="0"/>
                <w:sz w:val="22"/>
                <w:szCs w:val="22"/>
                <w:lang w:eastAsia="pl-PL"/>
                <w14:ligatures w14:val="none"/>
              </w:rPr>
              <w:br/>
              <w:t xml:space="preserve">- ran, drenów, </w:t>
            </w:r>
            <w:proofErr w:type="spellStart"/>
            <w:r w:rsidRPr="00A17E7B">
              <w:rPr>
                <w:rFonts w:ascii="Calibri" w:eastAsia="Times New Roman" w:hAnsi="Calibri" w:cs="Calibri"/>
                <w:color w:val="000001"/>
                <w:kern w:val="0"/>
                <w:sz w:val="22"/>
                <w:szCs w:val="22"/>
                <w:lang w:eastAsia="pl-PL"/>
                <w14:ligatures w14:val="none"/>
              </w:rPr>
              <w:t>stomii</w:t>
            </w:r>
            <w:proofErr w:type="spellEnd"/>
            <w:r w:rsidRPr="00A17E7B">
              <w:rPr>
                <w:rFonts w:ascii="Calibri" w:eastAsia="Times New Roman" w:hAnsi="Calibri" w:cs="Calibri"/>
                <w:color w:val="000001"/>
                <w:kern w:val="0"/>
                <w:sz w:val="22"/>
                <w:szCs w:val="22"/>
                <w:lang w:eastAsia="pl-PL"/>
                <w14:ligatures w14:val="none"/>
              </w:rPr>
              <w:br/>
              <w:t>- zabiegów pielęgnacyjnych</w:t>
            </w:r>
            <w:r w:rsidRPr="00A17E7B">
              <w:rPr>
                <w:rFonts w:ascii="Calibri" w:eastAsia="Times New Roman" w:hAnsi="Calibri" w:cs="Calibri"/>
                <w:color w:val="000001"/>
                <w:kern w:val="0"/>
                <w:sz w:val="22"/>
                <w:szCs w:val="22"/>
                <w:lang w:eastAsia="pl-PL"/>
                <w14:ligatures w14:val="none"/>
              </w:rPr>
              <w:br/>
              <w:t>- badań laboratoryjnych</w:t>
            </w:r>
            <w:r w:rsidRPr="00A17E7B">
              <w:rPr>
                <w:rFonts w:ascii="Calibri" w:eastAsia="Times New Roman" w:hAnsi="Calibri" w:cs="Calibri"/>
                <w:color w:val="000001"/>
                <w:kern w:val="0"/>
                <w:sz w:val="22"/>
                <w:szCs w:val="22"/>
                <w:lang w:eastAsia="pl-PL"/>
                <w14:ligatures w14:val="none"/>
              </w:rPr>
              <w:br/>
              <w:t>- badań radiologicznych</w:t>
            </w:r>
          </w:p>
        </w:tc>
        <w:tc>
          <w:tcPr>
            <w:tcW w:w="944" w:type="pct"/>
          </w:tcPr>
          <w:p w14:paraId="2BDEC28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9150A99" w14:textId="70874376" w:rsidTr="003F39D9">
        <w:trPr>
          <w:trHeight w:val="600"/>
        </w:trPr>
        <w:tc>
          <w:tcPr>
            <w:tcW w:w="306" w:type="pct"/>
          </w:tcPr>
          <w:p w14:paraId="0517DAD4" w14:textId="77777777" w:rsidR="003F39D9" w:rsidRPr="00A17E7B" w:rsidRDefault="003F39D9" w:rsidP="00827561">
            <w:pPr>
              <w:pStyle w:val="Akapitzlist"/>
              <w:numPr>
                <w:ilvl w:val="0"/>
                <w:numId w:val="11"/>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67E5F26" w14:textId="5DC5B75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Funkcja dokumentowania przebiegu infekcji zapewniająca widok charakterystycznych dla infekcji markerów (temperatura, HR, wartość średnia ciśnienia tętniczego, poziom leukocytów) skorelowany w czasie z wynikami badań laboratoryjnych, podawanymi lekami, parametrami funkcji życiowych, wynikami </w:t>
            </w:r>
            <w:proofErr w:type="spellStart"/>
            <w:r w:rsidRPr="00A17E7B">
              <w:rPr>
                <w:rFonts w:ascii="Calibri" w:eastAsia="Times New Roman" w:hAnsi="Calibri" w:cs="Calibri"/>
                <w:color w:val="000001"/>
                <w:kern w:val="0"/>
                <w:sz w:val="22"/>
                <w:szCs w:val="22"/>
                <w:lang w:eastAsia="pl-PL"/>
                <w14:ligatures w14:val="none"/>
              </w:rPr>
              <w:t>skal</w:t>
            </w:r>
            <w:proofErr w:type="spellEnd"/>
            <w:r w:rsidRPr="00A17E7B">
              <w:rPr>
                <w:rFonts w:ascii="Calibri" w:eastAsia="Times New Roman" w:hAnsi="Calibri" w:cs="Calibri"/>
                <w:color w:val="000001"/>
                <w:kern w:val="0"/>
                <w:sz w:val="22"/>
                <w:szCs w:val="22"/>
                <w:lang w:eastAsia="pl-PL"/>
                <w14:ligatures w14:val="none"/>
              </w:rPr>
              <w:t>, wykonywanymi wkłuciami itd.</w:t>
            </w:r>
          </w:p>
        </w:tc>
        <w:tc>
          <w:tcPr>
            <w:tcW w:w="944" w:type="pct"/>
          </w:tcPr>
          <w:p w14:paraId="1034087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5AF86403"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3AC2AD82" w14:textId="3735AE26" w:rsidTr="003F39D9">
        <w:trPr>
          <w:trHeight w:val="315"/>
        </w:trPr>
        <w:tc>
          <w:tcPr>
            <w:tcW w:w="4056" w:type="pct"/>
            <w:gridSpan w:val="2"/>
          </w:tcPr>
          <w:p w14:paraId="307605A1" w14:textId="43B2F1E9"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Kontynuacja opieki</w:t>
            </w:r>
          </w:p>
        </w:tc>
        <w:tc>
          <w:tcPr>
            <w:tcW w:w="944" w:type="pct"/>
          </w:tcPr>
          <w:p w14:paraId="2166B761"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2F169558" w14:textId="7C95DA54" w:rsidTr="003F39D9">
        <w:trPr>
          <w:trHeight w:val="600"/>
        </w:trPr>
        <w:tc>
          <w:tcPr>
            <w:tcW w:w="306" w:type="pct"/>
          </w:tcPr>
          <w:p w14:paraId="619FB02B"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9871AA8" w14:textId="4439347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zapewnia kompleksowy wgląd we wszystkie etapy opieki nad pacjentem, od przyjęcia do wypisu, bez konieczności przełączania się pomiędzy oddziałami objętymi systemem. Dane pacjenta, który był </w:t>
            </w:r>
            <w:r w:rsidRPr="00A17E7B">
              <w:rPr>
                <w:rFonts w:ascii="Calibri" w:eastAsia="Times New Roman" w:hAnsi="Calibri" w:cs="Calibri"/>
                <w:color w:val="000001"/>
                <w:kern w:val="0"/>
                <w:sz w:val="22"/>
                <w:szCs w:val="22"/>
                <w:lang w:eastAsia="pl-PL"/>
                <w14:ligatures w14:val="none"/>
              </w:rPr>
              <w:lastRenderedPageBreak/>
              <w:t>przenoszony pomiędzy oddziałami, objętymi systemem, widoczne są na jednej osi czasu, zapewniając kontynuację zapisu danych.</w:t>
            </w:r>
          </w:p>
        </w:tc>
        <w:tc>
          <w:tcPr>
            <w:tcW w:w="944" w:type="pct"/>
          </w:tcPr>
          <w:p w14:paraId="1BE5BD68" w14:textId="173A6B36"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lastRenderedPageBreak/>
              <w:t>Próbka</w:t>
            </w:r>
          </w:p>
        </w:tc>
      </w:tr>
      <w:tr w:rsidR="003F39D9" w:rsidRPr="00A17E7B" w14:paraId="1F9C456B" w14:textId="57A0000B" w:rsidTr="003F39D9">
        <w:trPr>
          <w:trHeight w:val="600"/>
        </w:trPr>
        <w:tc>
          <w:tcPr>
            <w:tcW w:w="306" w:type="pct"/>
          </w:tcPr>
          <w:p w14:paraId="2EEC31FB"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06C238B" w14:textId="46365F2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Arkusz danych pacjenta na osi czasu (cały pobyt </w:t>
            </w:r>
            <w:proofErr w:type="spellStart"/>
            <w:r w:rsidRPr="00A17E7B">
              <w:rPr>
                <w:rFonts w:ascii="Calibri" w:eastAsia="Times New Roman" w:hAnsi="Calibri" w:cs="Calibri"/>
                <w:color w:val="000001"/>
                <w:kern w:val="0"/>
                <w:sz w:val="22"/>
                <w:szCs w:val="22"/>
                <w:lang w:eastAsia="pl-PL"/>
                <w14:ligatures w14:val="none"/>
              </w:rPr>
              <w:t>pacjetna</w:t>
            </w:r>
            <w:proofErr w:type="spellEnd"/>
            <w:r w:rsidRPr="00A17E7B">
              <w:rPr>
                <w:rFonts w:ascii="Calibri" w:eastAsia="Times New Roman" w:hAnsi="Calibri" w:cs="Calibri"/>
                <w:color w:val="000001"/>
                <w:kern w:val="0"/>
                <w:sz w:val="22"/>
                <w:szCs w:val="22"/>
                <w:lang w:eastAsia="pl-PL"/>
                <w14:ligatures w14:val="none"/>
              </w:rPr>
              <w:t xml:space="preserve"> na jednym ekranie bez konieczności przewijania lewo/prawo) umożliwia wizualne rozróżnienie oddziałów szpitalnych objętych systemem, na </w:t>
            </w:r>
            <w:proofErr w:type="spellStart"/>
            <w:r w:rsidRPr="00A17E7B">
              <w:rPr>
                <w:rFonts w:ascii="Calibri" w:eastAsia="Times New Roman" w:hAnsi="Calibri" w:cs="Calibri"/>
                <w:color w:val="000001"/>
                <w:kern w:val="0"/>
                <w:sz w:val="22"/>
                <w:szCs w:val="22"/>
                <w:lang w:eastAsia="pl-PL"/>
                <w14:ligatures w14:val="none"/>
              </w:rPr>
              <w:t>któtych</w:t>
            </w:r>
            <w:proofErr w:type="spellEnd"/>
            <w:r w:rsidRPr="00A17E7B">
              <w:rPr>
                <w:rFonts w:ascii="Calibri" w:eastAsia="Times New Roman" w:hAnsi="Calibri" w:cs="Calibri"/>
                <w:color w:val="000001"/>
                <w:kern w:val="0"/>
                <w:sz w:val="22"/>
                <w:szCs w:val="22"/>
                <w:lang w:eastAsia="pl-PL"/>
                <w14:ligatures w14:val="none"/>
              </w:rPr>
              <w:t xml:space="preserve"> przebywał pacjent.</w:t>
            </w:r>
          </w:p>
        </w:tc>
        <w:tc>
          <w:tcPr>
            <w:tcW w:w="944" w:type="pct"/>
          </w:tcPr>
          <w:p w14:paraId="302E87DB" w14:textId="372FB57C"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666E65F9" w14:textId="041E9895" w:rsidTr="003F39D9">
        <w:trPr>
          <w:trHeight w:val="300"/>
        </w:trPr>
        <w:tc>
          <w:tcPr>
            <w:tcW w:w="306" w:type="pct"/>
          </w:tcPr>
          <w:p w14:paraId="3FD7B56C"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91FDD02" w14:textId="37F1811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umożliwia prowadzenie i utrzymanie pojedynczej i jednolitej </w:t>
            </w:r>
            <w:proofErr w:type="spellStart"/>
            <w:r w:rsidRPr="00A17E7B">
              <w:rPr>
                <w:rFonts w:ascii="Calibri" w:eastAsia="Times New Roman" w:hAnsi="Calibri" w:cs="Calibri"/>
                <w:color w:val="000001"/>
                <w:kern w:val="0"/>
                <w:sz w:val="22"/>
                <w:szCs w:val="22"/>
                <w:lang w:eastAsia="pl-PL"/>
                <w14:ligatures w14:val="none"/>
              </w:rPr>
              <w:t>dokumetnacji</w:t>
            </w:r>
            <w:proofErr w:type="spellEnd"/>
            <w:r w:rsidRPr="00A17E7B">
              <w:rPr>
                <w:rFonts w:ascii="Calibri" w:eastAsia="Times New Roman" w:hAnsi="Calibri" w:cs="Calibri"/>
                <w:color w:val="000001"/>
                <w:kern w:val="0"/>
                <w:sz w:val="22"/>
                <w:szCs w:val="22"/>
                <w:lang w:eastAsia="pl-PL"/>
                <w14:ligatures w14:val="none"/>
              </w:rPr>
              <w:t xml:space="preserve"> pacjenta w tym planowanie i monitorowanie leczenia podczas przenoszenia pacjenta między różnymi </w:t>
            </w:r>
            <w:r>
              <w:rPr>
                <w:rFonts w:ascii="Calibri" w:eastAsia="Times New Roman" w:hAnsi="Calibri" w:cs="Calibri"/>
                <w:color w:val="000001"/>
                <w:kern w:val="0"/>
                <w:sz w:val="22"/>
                <w:szCs w:val="22"/>
                <w:lang w:eastAsia="pl-PL"/>
                <w14:ligatures w14:val="none"/>
              </w:rPr>
              <w:t>salami</w:t>
            </w:r>
            <w:r w:rsidRPr="00A17E7B">
              <w:rPr>
                <w:rFonts w:ascii="Calibri" w:eastAsia="Times New Roman" w:hAnsi="Calibri" w:cs="Calibri"/>
                <w:color w:val="000001"/>
                <w:kern w:val="0"/>
                <w:sz w:val="22"/>
                <w:szCs w:val="22"/>
                <w:lang w:eastAsia="pl-PL"/>
                <w14:ligatures w14:val="none"/>
              </w:rPr>
              <w:t>.</w:t>
            </w:r>
          </w:p>
        </w:tc>
        <w:tc>
          <w:tcPr>
            <w:tcW w:w="944" w:type="pct"/>
          </w:tcPr>
          <w:p w14:paraId="24D02C3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9E240B8" w14:textId="613C7079" w:rsidTr="003F39D9">
        <w:trPr>
          <w:trHeight w:val="300"/>
        </w:trPr>
        <w:tc>
          <w:tcPr>
            <w:tcW w:w="306" w:type="pct"/>
          </w:tcPr>
          <w:p w14:paraId="2F9410B7"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44AEFE7" w14:textId="40E62F1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ma możliwość wykonywania obliczeń na podstawie danych uzyskanych z wielu etapów pobytu, m.in. gdy pacjent jest przenoszony pomiędzy różnymi </w:t>
            </w:r>
            <w:r>
              <w:rPr>
                <w:rFonts w:ascii="Calibri" w:eastAsia="Times New Roman" w:hAnsi="Calibri" w:cs="Calibri"/>
                <w:color w:val="000001"/>
                <w:kern w:val="0"/>
                <w:sz w:val="22"/>
                <w:szCs w:val="22"/>
                <w:lang w:eastAsia="pl-PL"/>
                <w14:ligatures w14:val="none"/>
              </w:rPr>
              <w:t>salami</w:t>
            </w:r>
            <w:r w:rsidRPr="00A17E7B">
              <w:rPr>
                <w:rFonts w:ascii="Calibri" w:eastAsia="Times New Roman" w:hAnsi="Calibri" w:cs="Calibri"/>
                <w:color w:val="000001"/>
                <w:kern w:val="0"/>
                <w:sz w:val="22"/>
                <w:szCs w:val="22"/>
                <w:lang w:eastAsia="pl-PL"/>
                <w14:ligatures w14:val="none"/>
              </w:rPr>
              <w:t>.</w:t>
            </w:r>
          </w:p>
        </w:tc>
        <w:tc>
          <w:tcPr>
            <w:tcW w:w="944" w:type="pct"/>
          </w:tcPr>
          <w:p w14:paraId="66B3CAE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1950BD9" w14:textId="1A7B6D1D" w:rsidTr="003F39D9">
        <w:trPr>
          <w:trHeight w:val="300"/>
        </w:trPr>
        <w:tc>
          <w:tcPr>
            <w:tcW w:w="306" w:type="pct"/>
          </w:tcPr>
          <w:p w14:paraId="0AE1FF7C"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7D9977B" w14:textId="5E52004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posiada kolorową oś czasu, która wyraźnie rozróżnia poszczególne oddziały, zwiększając czytelność informacji dla użytkowników.</w:t>
            </w:r>
          </w:p>
        </w:tc>
        <w:tc>
          <w:tcPr>
            <w:tcW w:w="944" w:type="pct"/>
          </w:tcPr>
          <w:p w14:paraId="0C15B4AD" w14:textId="3C5218BC"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5F36A9A2" w14:textId="37C0FABC" w:rsidTr="003F39D9">
        <w:trPr>
          <w:trHeight w:val="300"/>
        </w:trPr>
        <w:tc>
          <w:tcPr>
            <w:tcW w:w="306" w:type="pct"/>
          </w:tcPr>
          <w:p w14:paraId="43299F97"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DF44638" w14:textId="4A99831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przedstawia zapis wszystkich transferów pacjentów między różnymi </w:t>
            </w:r>
            <w:r>
              <w:rPr>
                <w:rFonts w:ascii="Calibri" w:eastAsia="Times New Roman" w:hAnsi="Calibri" w:cs="Calibri"/>
                <w:color w:val="000001"/>
                <w:kern w:val="0"/>
                <w:sz w:val="22"/>
                <w:szCs w:val="22"/>
                <w:lang w:eastAsia="pl-PL"/>
                <w14:ligatures w14:val="none"/>
              </w:rPr>
              <w:t>salami</w:t>
            </w:r>
            <w:r w:rsidRPr="00A17E7B">
              <w:rPr>
                <w:rFonts w:ascii="Calibri" w:eastAsia="Times New Roman" w:hAnsi="Calibri" w:cs="Calibri"/>
                <w:color w:val="000001"/>
                <w:kern w:val="0"/>
                <w:sz w:val="22"/>
                <w:szCs w:val="22"/>
                <w:lang w:eastAsia="pl-PL"/>
                <w14:ligatures w14:val="none"/>
              </w:rPr>
              <w:t>.</w:t>
            </w:r>
          </w:p>
        </w:tc>
        <w:tc>
          <w:tcPr>
            <w:tcW w:w="944" w:type="pct"/>
          </w:tcPr>
          <w:p w14:paraId="015FC66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197607F" w14:textId="524A4709" w:rsidTr="003F39D9">
        <w:trPr>
          <w:trHeight w:val="300"/>
        </w:trPr>
        <w:tc>
          <w:tcPr>
            <w:tcW w:w="306" w:type="pct"/>
          </w:tcPr>
          <w:p w14:paraId="500A006D" w14:textId="77777777" w:rsidR="003F39D9" w:rsidRPr="00A17E7B" w:rsidRDefault="003F39D9" w:rsidP="00827561">
            <w:pPr>
              <w:pStyle w:val="Akapitzlist"/>
              <w:numPr>
                <w:ilvl w:val="0"/>
                <w:numId w:val="12"/>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F169D24" w14:textId="2EDC2F2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ustawienie preferencji i metod udostępniania dokumentacji pacjentów między oddziałami, zgodnie z polityką i najlepszymi praktykami szpitala.</w:t>
            </w:r>
          </w:p>
        </w:tc>
        <w:tc>
          <w:tcPr>
            <w:tcW w:w="944" w:type="pct"/>
          </w:tcPr>
          <w:p w14:paraId="06940F4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0621B670"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6BFD6829" w14:textId="320419EE" w:rsidTr="003F39D9">
        <w:trPr>
          <w:trHeight w:val="315"/>
        </w:trPr>
        <w:tc>
          <w:tcPr>
            <w:tcW w:w="4056" w:type="pct"/>
            <w:gridSpan w:val="2"/>
          </w:tcPr>
          <w:p w14:paraId="568CA0B0" w14:textId="7E465760"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 xml:space="preserve">Zarządzanie lekami </w:t>
            </w:r>
          </w:p>
        </w:tc>
        <w:tc>
          <w:tcPr>
            <w:tcW w:w="944" w:type="pct"/>
          </w:tcPr>
          <w:p w14:paraId="62637DF3"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3E506047" w14:textId="1DE3BFDA" w:rsidTr="003F39D9">
        <w:trPr>
          <w:trHeight w:val="1500"/>
        </w:trPr>
        <w:tc>
          <w:tcPr>
            <w:tcW w:w="306" w:type="pct"/>
          </w:tcPr>
          <w:p w14:paraId="259C983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391E022" w14:textId="513627A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przypisywanie uprawnień do zlecenia leków, przygotowywania leków i podawania leków, dla każdego poziomu użytkownika i grupy użytkowników, poziomu jednostki (oddziału) użytkownika, dla każdego poziomu konkretnego leku i dla każdego poziomu określonej drogi podania. Możliwe trzy poziomy dostępu:</w:t>
            </w:r>
            <w:r w:rsidRPr="00A17E7B">
              <w:rPr>
                <w:rFonts w:ascii="Calibri" w:eastAsia="Times New Roman" w:hAnsi="Calibri" w:cs="Calibri"/>
                <w:color w:val="000001"/>
                <w:kern w:val="0"/>
                <w:sz w:val="22"/>
                <w:szCs w:val="22"/>
                <w:lang w:eastAsia="pl-PL"/>
                <w14:ligatures w14:val="none"/>
              </w:rPr>
              <w:br/>
              <w:t>- Dozwolone</w:t>
            </w:r>
            <w:r w:rsidRPr="00A17E7B">
              <w:rPr>
                <w:rFonts w:ascii="Calibri" w:eastAsia="Times New Roman" w:hAnsi="Calibri" w:cs="Calibri"/>
                <w:color w:val="000001"/>
                <w:kern w:val="0"/>
                <w:sz w:val="22"/>
                <w:szCs w:val="22"/>
                <w:lang w:eastAsia="pl-PL"/>
                <w14:ligatures w14:val="none"/>
              </w:rPr>
              <w:br/>
              <w:t>- Niedozwolone</w:t>
            </w:r>
            <w:r w:rsidRPr="00A17E7B">
              <w:rPr>
                <w:rFonts w:ascii="Calibri" w:eastAsia="Times New Roman" w:hAnsi="Calibri" w:cs="Calibri"/>
                <w:color w:val="000001"/>
                <w:kern w:val="0"/>
                <w:sz w:val="22"/>
                <w:szCs w:val="22"/>
                <w:lang w:eastAsia="pl-PL"/>
                <w14:ligatures w14:val="none"/>
              </w:rPr>
              <w:br/>
              <w:t>- Dozwolone w imieniu użytkownika planującego (informacja do uprawnionego użytkownika)</w:t>
            </w:r>
          </w:p>
        </w:tc>
        <w:tc>
          <w:tcPr>
            <w:tcW w:w="944" w:type="pct"/>
          </w:tcPr>
          <w:p w14:paraId="4543C93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2DAE5A9" w14:textId="548C0818" w:rsidTr="003F39D9">
        <w:trPr>
          <w:trHeight w:val="600"/>
        </w:trPr>
        <w:tc>
          <w:tcPr>
            <w:tcW w:w="306" w:type="pct"/>
          </w:tcPr>
          <w:p w14:paraId="2A635E9C"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C8A5B3C" w14:textId="0388990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integrację z pompami infuzyjnymi (w tym TCI), ich automatyczne kojarzenie, porównanie wprowadzonych danych i zatwierdzenie. Czynności wykonywane na pompie (m.in. zmiany szybkości, podanie bolusa, pauza) są automatycznie dokumentowane w systemie, bez ingerencji użytkownika.</w:t>
            </w:r>
          </w:p>
        </w:tc>
        <w:tc>
          <w:tcPr>
            <w:tcW w:w="944" w:type="pct"/>
          </w:tcPr>
          <w:p w14:paraId="1B1F5FE1" w14:textId="48E74CEC"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29039947" w14:textId="1DAE0871" w:rsidTr="003F39D9">
        <w:trPr>
          <w:trHeight w:val="300"/>
        </w:trPr>
        <w:tc>
          <w:tcPr>
            <w:tcW w:w="306" w:type="pct"/>
          </w:tcPr>
          <w:p w14:paraId="1E86F0CF"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2A96E92" w14:textId="413161E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personelowi lekarskiemu zlecenia leków generycznych, a personelowi pielęgniarskiemu podjęcie decyzji dotyczącej zastosowanego produktu.</w:t>
            </w:r>
          </w:p>
        </w:tc>
        <w:tc>
          <w:tcPr>
            <w:tcW w:w="944" w:type="pct"/>
          </w:tcPr>
          <w:p w14:paraId="3886986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F8B3EF9" w14:textId="1E90F6CB" w:rsidTr="003F39D9">
        <w:trPr>
          <w:trHeight w:val="300"/>
        </w:trPr>
        <w:tc>
          <w:tcPr>
            <w:tcW w:w="306" w:type="pct"/>
          </w:tcPr>
          <w:p w14:paraId="1E2D6A0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A1C0227" w14:textId="39D0E6A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dodania jednej lub kilku nazw handlowych dla określonego leku.</w:t>
            </w:r>
          </w:p>
        </w:tc>
        <w:tc>
          <w:tcPr>
            <w:tcW w:w="944" w:type="pct"/>
          </w:tcPr>
          <w:p w14:paraId="3A5881A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5393C3C" w14:textId="70725DBF" w:rsidTr="003F39D9">
        <w:trPr>
          <w:trHeight w:val="300"/>
        </w:trPr>
        <w:tc>
          <w:tcPr>
            <w:tcW w:w="306" w:type="pct"/>
          </w:tcPr>
          <w:p w14:paraId="36937981"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BFBC81F" w14:textId="4F48CAA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skonfigurowania produktu, który stanowi połączenie nazwy handlowej i preparatu z określoną postacią i dawką.</w:t>
            </w:r>
          </w:p>
        </w:tc>
        <w:tc>
          <w:tcPr>
            <w:tcW w:w="944" w:type="pct"/>
          </w:tcPr>
          <w:p w14:paraId="6E835B2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9891774" w14:textId="404DB1AD" w:rsidTr="003F39D9">
        <w:trPr>
          <w:trHeight w:val="300"/>
        </w:trPr>
        <w:tc>
          <w:tcPr>
            <w:tcW w:w="306" w:type="pct"/>
          </w:tcPr>
          <w:p w14:paraId="3E6F5AB1"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FC87DA6" w14:textId="52A927F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dokumentowania czynności i dawek niezleconych (podanych poza planem).</w:t>
            </w:r>
          </w:p>
        </w:tc>
        <w:tc>
          <w:tcPr>
            <w:tcW w:w="944" w:type="pct"/>
          </w:tcPr>
          <w:p w14:paraId="7FA61C1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025EEFC" w14:textId="22900A21" w:rsidTr="003F39D9">
        <w:trPr>
          <w:trHeight w:val="600"/>
        </w:trPr>
        <w:tc>
          <w:tcPr>
            <w:tcW w:w="306" w:type="pct"/>
          </w:tcPr>
          <w:p w14:paraId="30B969AD"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B55A849" w14:textId="50F70CF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utworzenia zlecenia z podaniem określonego przedziału wartości dawki i szybkości infuzji (a nie tylko pojedynczej wartości), pozostawiając decyzję o ostatecznej wartość podaży na etap realizacji zlecenia.</w:t>
            </w:r>
          </w:p>
        </w:tc>
        <w:tc>
          <w:tcPr>
            <w:tcW w:w="944" w:type="pct"/>
          </w:tcPr>
          <w:p w14:paraId="0AE145F8" w14:textId="348BB119"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4B8D8536" w14:textId="7F45F47C" w:rsidTr="003F39D9">
        <w:trPr>
          <w:trHeight w:val="387"/>
        </w:trPr>
        <w:tc>
          <w:tcPr>
            <w:tcW w:w="306" w:type="pct"/>
          </w:tcPr>
          <w:p w14:paraId="31471850"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A4DF3C4" w14:textId="5417D4A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wprowadzenia i zapisania własnych leków, będących np. kombinacją składników aktywnych i substancji rozcieńczających.</w:t>
            </w:r>
          </w:p>
        </w:tc>
        <w:tc>
          <w:tcPr>
            <w:tcW w:w="944" w:type="pct"/>
          </w:tcPr>
          <w:p w14:paraId="39C13E7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7A5BEF8" w14:textId="458754F2" w:rsidTr="003F39D9">
        <w:trPr>
          <w:trHeight w:val="387"/>
        </w:trPr>
        <w:tc>
          <w:tcPr>
            <w:tcW w:w="306" w:type="pct"/>
          </w:tcPr>
          <w:p w14:paraId="385227CA"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F3C4EBF" w14:textId="0F7C8DA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zdefiniowania wartości normalnych i granicznych dawek.</w:t>
            </w:r>
          </w:p>
        </w:tc>
        <w:tc>
          <w:tcPr>
            <w:tcW w:w="944" w:type="pct"/>
          </w:tcPr>
          <w:p w14:paraId="73D2945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5985124" w14:textId="7091B1EF" w:rsidTr="003F39D9">
        <w:trPr>
          <w:trHeight w:val="300"/>
        </w:trPr>
        <w:tc>
          <w:tcPr>
            <w:tcW w:w="306" w:type="pct"/>
          </w:tcPr>
          <w:p w14:paraId="57942AAA"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C9BF1CE" w14:textId="42CD431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oznaczenia leku, przyjmowanego przez pacjenta samodzielnie. Oznaczenie musi być czytelne i widoczne bez konieczności klikania lub najechania kursorem na dany lek.</w:t>
            </w:r>
          </w:p>
        </w:tc>
        <w:tc>
          <w:tcPr>
            <w:tcW w:w="944" w:type="pct"/>
          </w:tcPr>
          <w:p w14:paraId="2064000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AFC43F9" w14:textId="3762F805" w:rsidTr="003F39D9">
        <w:trPr>
          <w:trHeight w:val="1200"/>
        </w:trPr>
        <w:tc>
          <w:tcPr>
            <w:tcW w:w="306" w:type="pct"/>
          </w:tcPr>
          <w:p w14:paraId="25D5737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F6D9BBC" w14:textId="6A359D0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Automatyczne obliczanie i wyświetlanie dziennej dawki w następujących formatach:</w:t>
            </w:r>
            <w:r w:rsidRPr="00A17E7B">
              <w:rPr>
                <w:rFonts w:ascii="Calibri" w:eastAsia="Times New Roman" w:hAnsi="Calibri" w:cs="Calibri"/>
                <w:color w:val="000001"/>
                <w:kern w:val="0"/>
                <w:sz w:val="22"/>
                <w:szCs w:val="22"/>
                <w:lang w:eastAsia="pl-PL"/>
                <w14:ligatures w14:val="none"/>
              </w:rPr>
              <w:br/>
              <w:t>- jednostka nieznormalizowana, np. mg/dzień</w:t>
            </w:r>
            <w:r w:rsidRPr="00A17E7B">
              <w:rPr>
                <w:rFonts w:ascii="Calibri" w:eastAsia="Times New Roman" w:hAnsi="Calibri" w:cs="Calibri"/>
                <w:color w:val="000001"/>
                <w:kern w:val="0"/>
                <w:sz w:val="22"/>
                <w:szCs w:val="22"/>
                <w:lang w:eastAsia="pl-PL"/>
                <w14:ligatures w14:val="none"/>
              </w:rPr>
              <w:br/>
              <w:t>- jednostka znormalizowana na masę ciała np. mg/kg/dzień</w:t>
            </w:r>
            <w:r w:rsidRPr="00A17E7B">
              <w:rPr>
                <w:rFonts w:ascii="Calibri" w:eastAsia="Times New Roman" w:hAnsi="Calibri" w:cs="Calibri"/>
                <w:color w:val="000001"/>
                <w:kern w:val="0"/>
                <w:sz w:val="22"/>
                <w:szCs w:val="22"/>
                <w:lang w:eastAsia="pl-PL"/>
                <w14:ligatures w14:val="none"/>
              </w:rPr>
              <w:br/>
              <w:t>- jednostka znormalizowana na BSA np. µg/m2/dzień</w:t>
            </w:r>
          </w:p>
        </w:tc>
        <w:tc>
          <w:tcPr>
            <w:tcW w:w="944" w:type="pct"/>
          </w:tcPr>
          <w:p w14:paraId="6AD1B6F9" w14:textId="6E15ECE3"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FEE8378" w14:textId="0A656286" w:rsidTr="003F39D9">
        <w:trPr>
          <w:trHeight w:val="300"/>
        </w:trPr>
        <w:tc>
          <w:tcPr>
            <w:tcW w:w="306" w:type="pct"/>
          </w:tcPr>
          <w:p w14:paraId="05B6B3AB"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AC8AF01" w14:textId="08BAEA2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wstępne wczytywanie katalogu leków (min. 1500) i wstępne definiowanie szablonów w celu uproszczenia wprowadzania zleceń na leki generyczne i o określonej marce.</w:t>
            </w:r>
          </w:p>
        </w:tc>
        <w:tc>
          <w:tcPr>
            <w:tcW w:w="944" w:type="pct"/>
          </w:tcPr>
          <w:p w14:paraId="6E81701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CDCA7AB" w14:textId="76B61225" w:rsidTr="003F39D9">
        <w:trPr>
          <w:trHeight w:val="600"/>
        </w:trPr>
        <w:tc>
          <w:tcPr>
            <w:tcW w:w="306" w:type="pct"/>
          </w:tcPr>
          <w:p w14:paraId="115DAF6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C365EB9" w14:textId="4D17492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Automatyzacja procesu importu i synchronizacji katalogu leków.</w:t>
            </w:r>
            <w:r w:rsidRPr="00A17E7B">
              <w:rPr>
                <w:rFonts w:ascii="Calibri" w:eastAsia="Times New Roman" w:hAnsi="Calibri" w:cs="Calibri"/>
                <w:color w:val="000001"/>
                <w:kern w:val="0"/>
                <w:sz w:val="22"/>
                <w:szCs w:val="22"/>
                <w:lang w:eastAsia="pl-PL"/>
                <w14:ligatures w14:val="none"/>
              </w:rPr>
              <w:br/>
              <w:t>Możliwość wyboru bazy leków i pozycji receptariusza i automatycznego importowania ich do systemu. Po zaimportowaniu możliwość aktualizacji katalogu.</w:t>
            </w:r>
          </w:p>
        </w:tc>
        <w:tc>
          <w:tcPr>
            <w:tcW w:w="944" w:type="pct"/>
          </w:tcPr>
          <w:p w14:paraId="41E315F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FE3BCAA" w14:textId="3FCDAC2C" w:rsidTr="003F39D9">
        <w:trPr>
          <w:trHeight w:val="600"/>
        </w:trPr>
        <w:tc>
          <w:tcPr>
            <w:tcW w:w="306" w:type="pct"/>
          </w:tcPr>
          <w:p w14:paraId="6E0F8957"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818F10A" w14:textId="6B92F82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Szablony zleceń i dawek dostępne są pod jednym przyciskiem umożliwiają wprowadzenie leku z uwzględnieniem wcześniej zdefiniowanych danych m.in. postać, droga podania, ilość/objętość, stężenie (jeśli dotyczy), szybkość wlewu /czas trwania wlewu (jeśli dotyczy).</w:t>
            </w:r>
          </w:p>
        </w:tc>
        <w:tc>
          <w:tcPr>
            <w:tcW w:w="944" w:type="pct"/>
          </w:tcPr>
          <w:p w14:paraId="5052E3D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4B807E4" w14:textId="16FC3A87" w:rsidTr="003F39D9">
        <w:trPr>
          <w:trHeight w:val="300"/>
        </w:trPr>
        <w:tc>
          <w:tcPr>
            <w:tcW w:w="306" w:type="pct"/>
          </w:tcPr>
          <w:p w14:paraId="6A6E4B9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EC989CC" w14:textId="6514CFA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możliwość znakowania drogich leków, zwiększając kontrolę nad ich stosowaniem.</w:t>
            </w:r>
          </w:p>
        </w:tc>
        <w:tc>
          <w:tcPr>
            <w:tcW w:w="944" w:type="pct"/>
          </w:tcPr>
          <w:p w14:paraId="655E0B1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C28B695" w14:textId="63DC0DC0" w:rsidTr="003F39D9">
        <w:trPr>
          <w:trHeight w:val="300"/>
        </w:trPr>
        <w:tc>
          <w:tcPr>
            <w:tcW w:w="306" w:type="pct"/>
          </w:tcPr>
          <w:p w14:paraId="3A9843A8"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31372D3" w14:textId="24570CF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umożliwia konfigurowanie dostępności leków w podziale na jednostki </w:t>
            </w:r>
            <w:proofErr w:type="spellStart"/>
            <w:r w:rsidRPr="00A17E7B">
              <w:rPr>
                <w:rFonts w:ascii="Calibri" w:eastAsia="Times New Roman" w:hAnsi="Calibri" w:cs="Calibri"/>
                <w:color w:val="000001"/>
                <w:kern w:val="0"/>
                <w:sz w:val="22"/>
                <w:szCs w:val="22"/>
                <w:lang w:eastAsia="pl-PL"/>
                <w14:ligatures w14:val="none"/>
              </w:rPr>
              <w:t>organizacyje</w:t>
            </w:r>
            <w:proofErr w:type="spellEnd"/>
            <w:r w:rsidRPr="00A17E7B">
              <w:rPr>
                <w:rFonts w:ascii="Calibri" w:eastAsia="Times New Roman" w:hAnsi="Calibri" w:cs="Calibri"/>
                <w:color w:val="000001"/>
                <w:kern w:val="0"/>
                <w:sz w:val="22"/>
                <w:szCs w:val="22"/>
                <w:lang w:eastAsia="pl-PL"/>
                <w14:ligatures w14:val="none"/>
              </w:rPr>
              <w:t xml:space="preserve"> (oddziały).</w:t>
            </w:r>
          </w:p>
        </w:tc>
        <w:tc>
          <w:tcPr>
            <w:tcW w:w="944" w:type="pct"/>
          </w:tcPr>
          <w:p w14:paraId="0C0878E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5F903DF" w14:textId="3C1252CA" w:rsidTr="003F39D9">
        <w:trPr>
          <w:trHeight w:val="300"/>
        </w:trPr>
        <w:tc>
          <w:tcPr>
            <w:tcW w:w="306" w:type="pct"/>
          </w:tcPr>
          <w:p w14:paraId="02D7FD5B"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0F1593A" w14:textId="7E68502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reaktywacji zleceń przy przyjęciu pacjenta, jeżeli pacjent wcześniej przebywał na danym oddziale.</w:t>
            </w:r>
          </w:p>
        </w:tc>
        <w:tc>
          <w:tcPr>
            <w:tcW w:w="944" w:type="pct"/>
          </w:tcPr>
          <w:p w14:paraId="25FEDD4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36BCB48" w14:textId="3D7CF5F1" w:rsidTr="003F39D9">
        <w:trPr>
          <w:trHeight w:val="300"/>
        </w:trPr>
        <w:tc>
          <w:tcPr>
            <w:tcW w:w="306" w:type="pct"/>
          </w:tcPr>
          <w:p w14:paraId="4ECFD3B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D168150" w14:textId="331F320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reaktywacji jednego lub wielu zleceń.</w:t>
            </w:r>
          </w:p>
        </w:tc>
        <w:tc>
          <w:tcPr>
            <w:tcW w:w="944" w:type="pct"/>
          </w:tcPr>
          <w:p w14:paraId="7DF3FB0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B634601" w14:textId="13F1817A" w:rsidTr="003F39D9">
        <w:trPr>
          <w:trHeight w:val="300"/>
        </w:trPr>
        <w:tc>
          <w:tcPr>
            <w:tcW w:w="306" w:type="pct"/>
          </w:tcPr>
          <w:p w14:paraId="3B219513"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9624E51" w14:textId="15FA372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wprowadzenia zestawów zleceń, które zostały wstępnie zdefiniowane dla konkretnego rozpoznania lub sytuacji klinicznej.</w:t>
            </w:r>
          </w:p>
        </w:tc>
        <w:tc>
          <w:tcPr>
            <w:tcW w:w="944" w:type="pct"/>
          </w:tcPr>
          <w:p w14:paraId="3300E1A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056EA9F" w14:textId="43DD0C85" w:rsidTr="003F39D9">
        <w:trPr>
          <w:trHeight w:val="300"/>
        </w:trPr>
        <w:tc>
          <w:tcPr>
            <w:tcW w:w="306" w:type="pct"/>
          </w:tcPr>
          <w:p w14:paraId="28AD85EE"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A816043" w14:textId="1260DA9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wprowadzenia zestawu dawek, które zostały wstępnie zdefiniowane dla konkretnego rozpoznania lub sytuacji klinicznej, m.in. zestaw przy przyjęciu pacjenta. </w:t>
            </w:r>
          </w:p>
        </w:tc>
        <w:tc>
          <w:tcPr>
            <w:tcW w:w="944" w:type="pct"/>
          </w:tcPr>
          <w:p w14:paraId="1236302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836BCE7" w14:textId="43E1CF83" w:rsidTr="003F39D9">
        <w:trPr>
          <w:trHeight w:val="300"/>
        </w:trPr>
        <w:tc>
          <w:tcPr>
            <w:tcW w:w="306" w:type="pct"/>
          </w:tcPr>
          <w:p w14:paraId="713850C3"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173880A" w14:textId="23F7B71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przypomina użytkownikom o terminie podania dawki. </w:t>
            </w:r>
          </w:p>
        </w:tc>
        <w:tc>
          <w:tcPr>
            <w:tcW w:w="944" w:type="pct"/>
          </w:tcPr>
          <w:p w14:paraId="48E2A6C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75075B8" w14:textId="3A2550D3" w:rsidTr="003F39D9">
        <w:trPr>
          <w:trHeight w:val="300"/>
        </w:trPr>
        <w:tc>
          <w:tcPr>
            <w:tcW w:w="306" w:type="pct"/>
          </w:tcPr>
          <w:p w14:paraId="61FD4C8A"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6F9C6E8" w14:textId="187F2D6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oddzielny widok dla planowanych podaży oraz dla podanych dawek i wykonanych zadań.</w:t>
            </w:r>
          </w:p>
        </w:tc>
        <w:tc>
          <w:tcPr>
            <w:tcW w:w="944" w:type="pct"/>
          </w:tcPr>
          <w:p w14:paraId="449A866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568C6E7" w14:textId="77229F10" w:rsidTr="003F39D9">
        <w:trPr>
          <w:trHeight w:val="300"/>
        </w:trPr>
        <w:tc>
          <w:tcPr>
            <w:tcW w:w="306" w:type="pct"/>
          </w:tcPr>
          <w:p w14:paraId="155879C7"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4C0D99A" w14:textId="4D6E239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śledzenie postępów w realizacji planu leczenia pacjenta oraz wprowadzanie korekt.</w:t>
            </w:r>
          </w:p>
        </w:tc>
        <w:tc>
          <w:tcPr>
            <w:tcW w:w="944" w:type="pct"/>
          </w:tcPr>
          <w:p w14:paraId="063D28D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EFBA1AD" w14:textId="73559075" w:rsidTr="003F39D9">
        <w:trPr>
          <w:trHeight w:val="300"/>
        </w:trPr>
        <w:tc>
          <w:tcPr>
            <w:tcW w:w="306" w:type="pct"/>
          </w:tcPr>
          <w:p w14:paraId="272BE67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FA38393" w14:textId="7E448EE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wykonuje automatyczne obliczenia na podstawie zleceń leków, w tym bilansu płynów.</w:t>
            </w:r>
          </w:p>
        </w:tc>
        <w:tc>
          <w:tcPr>
            <w:tcW w:w="944" w:type="pct"/>
          </w:tcPr>
          <w:p w14:paraId="3493C11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3687918" w14:textId="2363F22A" w:rsidTr="003F39D9">
        <w:trPr>
          <w:trHeight w:val="300"/>
        </w:trPr>
        <w:tc>
          <w:tcPr>
            <w:tcW w:w="306" w:type="pct"/>
          </w:tcPr>
          <w:p w14:paraId="30FFAFDD"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6764CAD" w14:textId="5A34A73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złożone schematy/harmonogramy zleceń leków, takie jak miareczkowanie, dawka początkowa i kontynuacja, zmniejszająca się dawka i zlecenie cykliczne.</w:t>
            </w:r>
          </w:p>
        </w:tc>
        <w:tc>
          <w:tcPr>
            <w:tcW w:w="944" w:type="pct"/>
          </w:tcPr>
          <w:p w14:paraId="4C4E086E" w14:textId="266DC714"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0133A660" w14:textId="68A62F43" w:rsidTr="003F39D9">
        <w:trPr>
          <w:trHeight w:val="600"/>
        </w:trPr>
        <w:tc>
          <w:tcPr>
            <w:tcW w:w="306" w:type="pct"/>
          </w:tcPr>
          <w:p w14:paraId="1A90E76C"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9FA44F1" w14:textId="1B701BC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wyboru interwału podawania leku (np. co 4 godziny), częstotliwości podawania (np. 2 razy na dobę) oraz wyboru konkretnych godzin, kiedy lek ma zostać podany. Możliwość określenia czasu rozpoczęcia i zakończenia podawania.</w:t>
            </w:r>
          </w:p>
        </w:tc>
        <w:tc>
          <w:tcPr>
            <w:tcW w:w="944" w:type="pct"/>
          </w:tcPr>
          <w:p w14:paraId="4A700C3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41D3BB7" w14:textId="47922D0B" w:rsidTr="003F39D9">
        <w:trPr>
          <w:trHeight w:val="300"/>
        </w:trPr>
        <w:tc>
          <w:tcPr>
            <w:tcW w:w="306" w:type="pct"/>
          </w:tcPr>
          <w:p w14:paraId="6ED001C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58255AA" w14:textId="440AD66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wiele stylów zleceń leków, m.in. pojedyncze podanie (wstrzyknięcie, tabletka), podanie ciągłe z deklaracją szybkości, z deklaracją objętości, z deklaracją stężenia.</w:t>
            </w:r>
          </w:p>
        </w:tc>
        <w:tc>
          <w:tcPr>
            <w:tcW w:w="944" w:type="pct"/>
          </w:tcPr>
          <w:p w14:paraId="4DD6D144" w14:textId="5A2DB461"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2997E5D5" w14:textId="4527087A" w:rsidTr="003F39D9">
        <w:trPr>
          <w:trHeight w:val="600"/>
        </w:trPr>
        <w:tc>
          <w:tcPr>
            <w:tcW w:w="306" w:type="pct"/>
          </w:tcPr>
          <w:p w14:paraId="2EAFC7C1"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088C26E" w14:textId="3CE16A1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nie tylko wyboru leku, ale również jego postaci (m.in. tabletka, kapsułka, syrop), sposobu podania (m.in. doustnie, dożylnie, doodbytniczo) i miejsca podania / zaaplikowania (m.in. usta, lewe ramię).</w:t>
            </w:r>
          </w:p>
        </w:tc>
        <w:tc>
          <w:tcPr>
            <w:tcW w:w="944" w:type="pct"/>
          </w:tcPr>
          <w:p w14:paraId="057D03F2" w14:textId="5C7B1BF0"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4241A9B0" w14:textId="280D034D" w:rsidTr="003F39D9">
        <w:trPr>
          <w:trHeight w:val="300"/>
        </w:trPr>
        <w:tc>
          <w:tcPr>
            <w:tcW w:w="306" w:type="pct"/>
          </w:tcPr>
          <w:p w14:paraId="0EBEC98A"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358D71F" w14:textId="288EF0F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zlecenia wlewów zawierających wiele leków lub składników, zapewniając jednocześnie możliwość zdefiniowania stałego stosunku (stężenia) między wszystkimi składnikami infuzji.</w:t>
            </w:r>
          </w:p>
        </w:tc>
        <w:tc>
          <w:tcPr>
            <w:tcW w:w="944" w:type="pct"/>
          </w:tcPr>
          <w:p w14:paraId="1644772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EB7C68B" w14:textId="5B9B7592" w:rsidTr="003F39D9">
        <w:trPr>
          <w:trHeight w:val="600"/>
        </w:trPr>
        <w:tc>
          <w:tcPr>
            <w:tcW w:w="306" w:type="pct"/>
          </w:tcPr>
          <w:p w14:paraId="4F0969C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C178E37" w14:textId="4846612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powiązania leku z parametrem życiowym pacjenta np. odczytywanym z aparatury medycznej lub wynikiem laboratoryjnym, dzięki czemu dana wartość wyświetlana jest automatycznie w oknie wprowadzania zlecenia dla konkretnego leku, wspierając decyzję personelu w sprawie ilości/objętości.</w:t>
            </w:r>
          </w:p>
        </w:tc>
        <w:tc>
          <w:tcPr>
            <w:tcW w:w="944" w:type="pct"/>
          </w:tcPr>
          <w:p w14:paraId="75FA458A" w14:textId="79EB9F93"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FD5708C" w14:textId="1D4AC7BB" w:rsidTr="003F39D9">
        <w:trPr>
          <w:trHeight w:val="300"/>
        </w:trPr>
        <w:tc>
          <w:tcPr>
            <w:tcW w:w="306" w:type="pct"/>
          </w:tcPr>
          <w:p w14:paraId="31883DD9"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B48B85C" w14:textId="372C175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Wyróżnianie pól w oknie wprowadzania zleceń i dawek, których wypełnienie jest obowiązkowe. Możliwość zdefiniowania, które pola są obowiązkowe.</w:t>
            </w:r>
          </w:p>
        </w:tc>
        <w:tc>
          <w:tcPr>
            <w:tcW w:w="944" w:type="pct"/>
          </w:tcPr>
          <w:p w14:paraId="58DD098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D1AA51D" w14:textId="32C27906" w:rsidTr="003F39D9">
        <w:trPr>
          <w:trHeight w:val="300"/>
        </w:trPr>
        <w:tc>
          <w:tcPr>
            <w:tcW w:w="306" w:type="pct"/>
          </w:tcPr>
          <w:p w14:paraId="2EC26F42"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A4B7D81" w14:textId="52B96E1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dołączenia obowiązkowego bądź opcjonalnego formularza do okna wprowadza zlecenia i dawki.</w:t>
            </w:r>
          </w:p>
        </w:tc>
        <w:tc>
          <w:tcPr>
            <w:tcW w:w="944" w:type="pct"/>
          </w:tcPr>
          <w:p w14:paraId="69A9A8E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043575F" w14:textId="2CC0A771" w:rsidTr="003F39D9">
        <w:trPr>
          <w:trHeight w:val="300"/>
        </w:trPr>
        <w:tc>
          <w:tcPr>
            <w:tcW w:w="306" w:type="pct"/>
          </w:tcPr>
          <w:p w14:paraId="63E86CD0"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23D2F10" w14:textId="7433023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opcjonalne i obowiązkowe wspólne podpisywanie (login i hasło) określonych działań związanych z lekami w celu zwiększenia bezpieczeństwa pacjenta.</w:t>
            </w:r>
          </w:p>
        </w:tc>
        <w:tc>
          <w:tcPr>
            <w:tcW w:w="944" w:type="pct"/>
          </w:tcPr>
          <w:p w14:paraId="75E45C8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FA2CC1C" w14:textId="54BDEBD9" w:rsidTr="003F39D9">
        <w:trPr>
          <w:trHeight w:val="300"/>
        </w:trPr>
        <w:tc>
          <w:tcPr>
            <w:tcW w:w="306" w:type="pct"/>
          </w:tcPr>
          <w:p w14:paraId="2574A00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27BBA31" w14:textId="66A3655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użytkownikom dostosowanie sposobu grupowania, filtrowania i sortowania list leków i płynów.</w:t>
            </w:r>
          </w:p>
        </w:tc>
        <w:tc>
          <w:tcPr>
            <w:tcW w:w="944" w:type="pct"/>
          </w:tcPr>
          <w:p w14:paraId="150DD12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F80FA49" w14:textId="4E1D9F88" w:rsidTr="003F39D9">
        <w:trPr>
          <w:trHeight w:val="300"/>
        </w:trPr>
        <w:tc>
          <w:tcPr>
            <w:tcW w:w="306" w:type="pct"/>
          </w:tcPr>
          <w:p w14:paraId="4D715BF0"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37D0DA2" w14:textId="062B7D4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oddzielne (m.in. w różnych oknach ekranu) wyświetlanie różnych substancji, takich jak płyny i narkotyki, ułatwiając wyraźne rozróżnienie w interfejsie użytkownika.</w:t>
            </w:r>
          </w:p>
        </w:tc>
        <w:tc>
          <w:tcPr>
            <w:tcW w:w="944" w:type="pct"/>
          </w:tcPr>
          <w:p w14:paraId="617E007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471D406" w14:textId="39E5C4AE" w:rsidTr="003F39D9">
        <w:trPr>
          <w:trHeight w:val="300"/>
        </w:trPr>
        <w:tc>
          <w:tcPr>
            <w:tcW w:w="306" w:type="pct"/>
          </w:tcPr>
          <w:p w14:paraId="21469874"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20E94DE" w14:textId="10E0F5E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użytkownikom grupowanie elementów na podstawie niestandardowych kryteriów, w tym lokalizacji podaży leku, podaży w infuzji, podaży nie w infuzji.</w:t>
            </w:r>
          </w:p>
        </w:tc>
        <w:tc>
          <w:tcPr>
            <w:tcW w:w="944" w:type="pct"/>
          </w:tcPr>
          <w:p w14:paraId="3EB7180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0A2D533" w14:textId="1122D0EB" w:rsidTr="003F39D9">
        <w:trPr>
          <w:trHeight w:val="600"/>
        </w:trPr>
        <w:tc>
          <w:tcPr>
            <w:tcW w:w="306" w:type="pct"/>
          </w:tcPr>
          <w:p w14:paraId="16678EF3"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DDFE00B" w14:textId="2C53657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umożliwia użytkownikom dostosowywanie widoków w celu pokazywania i filtrowania określonych rodzajów leków, w tym leków infuzyjnych, leków podawanych okresowo, </w:t>
            </w:r>
            <w:proofErr w:type="spellStart"/>
            <w:r w:rsidRPr="00A17E7B">
              <w:rPr>
                <w:rFonts w:ascii="Calibri" w:eastAsia="Times New Roman" w:hAnsi="Calibri" w:cs="Calibri"/>
                <w:color w:val="000001"/>
                <w:kern w:val="0"/>
                <w:sz w:val="22"/>
                <w:szCs w:val="22"/>
                <w:lang w:eastAsia="pl-PL"/>
                <w14:ligatures w14:val="none"/>
              </w:rPr>
              <w:t>warunkwo</w:t>
            </w:r>
            <w:proofErr w:type="spellEnd"/>
            <w:r w:rsidRPr="00A17E7B">
              <w:rPr>
                <w:rFonts w:ascii="Calibri" w:eastAsia="Times New Roman" w:hAnsi="Calibri" w:cs="Calibri"/>
                <w:color w:val="000001"/>
                <w:kern w:val="0"/>
                <w:sz w:val="22"/>
                <w:szCs w:val="22"/>
                <w:lang w:eastAsia="pl-PL"/>
                <w14:ligatures w14:val="none"/>
              </w:rPr>
              <w:t>, w razie potrzeby, leków przyjętych przez pacjenta przed przyjęciem na oddział i leków przyjmowanych samodzielnie, zapewniając dostosowaną widoczność w oparciu o preferencje użytkownika i wymagania kliniczne.</w:t>
            </w:r>
          </w:p>
        </w:tc>
        <w:tc>
          <w:tcPr>
            <w:tcW w:w="944" w:type="pct"/>
          </w:tcPr>
          <w:p w14:paraId="7FB5763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8928D6D" w14:textId="6F847085" w:rsidTr="003F39D9">
        <w:trPr>
          <w:trHeight w:val="300"/>
        </w:trPr>
        <w:tc>
          <w:tcPr>
            <w:tcW w:w="306" w:type="pct"/>
          </w:tcPr>
          <w:p w14:paraId="4276D02A"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1D9B8C8" w14:textId="1DE3AD2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sortowanie leków alfabetycznie i według czasu rozpoczęcia podania.</w:t>
            </w:r>
          </w:p>
        </w:tc>
        <w:tc>
          <w:tcPr>
            <w:tcW w:w="944" w:type="pct"/>
          </w:tcPr>
          <w:p w14:paraId="46DD910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5E4B004" w14:textId="3D11BD58" w:rsidTr="003F39D9">
        <w:trPr>
          <w:trHeight w:val="300"/>
        </w:trPr>
        <w:tc>
          <w:tcPr>
            <w:tcW w:w="306" w:type="pct"/>
          </w:tcPr>
          <w:p w14:paraId="61E5F486" w14:textId="77777777" w:rsidR="003F39D9" w:rsidRPr="00A17E7B" w:rsidRDefault="003F39D9" w:rsidP="00827561">
            <w:pPr>
              <w:pStyle w:val="Akapitzlist"/>
              <w:numPr>
                <w:ilvl w:val="0"/>
                <w:numId w:val="13"/>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9484DFC" w14:textId="631CC60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użytkownikom możliwość dostosowywania grupowania, filtrowania i sortowania widoków zarówno z wyprzedzeniem, jak i podczas pracy z systemem.</w:t>
            </w:r>
          </w:p>
        </w:tc>
        <w:tc>
          <w:tcPr>
            <w:tcW w:w="944" w:type="pct"/>
          </w:tcPr>
          <w:p w14:paraId="6C999FD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56609704"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3E442E36" w14:textId="5C964197" w:rsidTr="003F39D9">
        <w:trPr>
          <w:trHeight w:val="300"/>
        </w:trPr>
        <w:tc>
          <w:tcPr>
            <w:tcW w:w="4056" w:type="pct"/>
            <w:gridSpan w:val="2"/>
          </w:tcPr>
          <w:p w14:paraId="01413969" w14:textId="4DE2ADCB"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Alergie i nietolerancje</w:t>
            </w:r>
          </w:p>
        </w:tc>
        <w:tc>
          <w:tcPr>
            <w:tcW w:w="944" w:type="pct"/>
          </w:tcPr>
          <w:p w14:paraId="0B5F1E24"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1934AE2F" w14:textId="5B140E36" w:rsidTr="003F39D9">
        <w:trPr>
          <w:trHeight w:val="300"/>
        </w:trPr>
        <w:tc>
          <w:tcPr>
            <w:tcW w:w="306" w:type="pct"/>
          </w:tcPr>
          <w:p w14:paraId="0E330A02"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8ADA8E1" w14:textId="793F587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posiada funkcję rejestrowania alergii i nietolerancji pacjentów, w tym na leki i produkty spożywcze.</w:t>
            </w:r>
          </w:p>
        </w:tc>
        <w:tc>
          <w:tcPr>
            <w:tcW w:w="944" w:type="pct"/>
          </w:tcPr>
          <w:p w14:paraId="2B72243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4932602" w14:textId="54E4B383" w:rsidTr="003F39D9">
        <w:trPr>
          <w:trHeight w:val="300"/>
        </w:trPr>
        <w:tc>
          <w:tcPr>
            <w:tcW w:w="306" w:type="pct"/>
          </w:tcPr>
          <w:p w14:paraId="28846814"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50B10E0" w14:textId="5713AA9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personelowi medycznemu dokumentowanie indywidualnych reakcji na alergeny, określając poziom nasilenia i odpowiadający mu poziom alarmowy.</w:t>
            </w:r>
          </w:p>
        </w:tc>
        <w:tc>
          <w:tcPr>
            <w:tcW w:w="944" w:type="pct"/>
          </w:tcPr>
          <w:p w14:paraId="64C79EC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9579700" w14:textId="592216BF" w:rsidTr="003F39D9">
        <w:trPr>
          <w:trHeight w:val="300"/>
        </w:trPr>
        <w:tc>
          <w:tcPr>
            <w:tcW w:w="306" w:type="pct"/>
          </w:tcPr>
          <w:p w14:paraId="72871D53"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C260340" w14:textId="7A999F7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Informacja o alergiach widoczna na ekranie głównym aplikacji wraz z podstawowymi danymi pacjenta.</w:t>
            </w:r>
          </w:p>
        </w:tc>
        <w:tc>
          <w:tcPr>
            <w:tcW w:w="944" w:type="pct"/>
          </w:tcPr>
          <w:p w14:paraId="0BCF85E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FF271EA" w14:textId="33512465" w:rsidTr="003F39D9">
        <w:trPr>
          <w:trHeight w:val="300"/>
        </w:trPr>
        <w:tc>
          <w:tcPr>
            <w:tcW w:w="306" w:type="pct"/>
          </w:tcPr>
          <w:p w14:paraId="05BC94BF"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048B272" w14:textId="447CE07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dodawania notatek w oknie alergii.</w:t>
            </w:r>
          </w:p>
        </w:tc>
        <w:tc>
          <w:tcPr>
            <w:tcW w:w="944" w:type="pct"/>
          </w:tcPr>
          <w:p w14:paraId="4AEE0DF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C8BB550" w14:textId="299B477A" w:rsidTr="003F39D9">
        <w:trPr>
          <w:trHeight w:val="300"/>
        </w:trPr>
        <w:tc>
          <w:tcPr>
            <w:tcW w:w="306" w:type="pct"/>
          </w:tcPr>
          <w:p w14:paraId="40BC98F3"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309082F" w14:textId="2EA3107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posiada funkcję umożliwiającą przeprowadzanie kontroli </w:t>
            </w:r>
            <w:r w:rsidRPr="00A17E7B">
              <w:rPr>
                <w:rFonts w:ascii="Calibri" w:eastAsia="Times New Roman" w:hAnsi="Calibri" w:cs="Calibri"/>
                <w:color w:val="000001"/>
                <w:kern w:val="0"/>
                <w:sz w:val="22"/>
                <w:szCs w:val="22"/>
                <w:lang w:eastAsia="pl-PL"/>
                <w14:ligatures w14:val="none"/>
              </w:rPr>
              <w:lastRenderedPageBreak/>
              <w:t>przeciwwskazań do zastosowania leku przy danej alergii, ze szczególnym uwzględnieniem bezpośrednich reakcji.</w:t>
            </w:r>
          </w:p>
        </w:tc>
        <w:tc>
          <w:tcPr>
            <w:tcW w:w="944" w:type="pct"/>
          </w:tcPr>
          <w:p w14:paraId="4511DF5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9D2E70B" w14:textId="59B3275C" w:rsidTr="003F39D9">
        <w:trPr>
          <w:trHeight w:val="600"/>
        </w:trPr>
        <w:tc>
          <w:tcPr>
            <w:tcW w:w="306" w:type="pct"/>
          </w:tcPr>
          <w:p w14:paraId="4509B4AE"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6B7876C" w14:textId="1E4480B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wysoki poziom elastyczności konfiguracji w generowaniu alertów związanych z alergiami, nietolerancjami i przeciwwskazaniami, zapewniając możliwość dostosowania do różnych scenariuszy klinicznych i preferencji użytkownika.</w:t>
            </w:r>
          </w:p>
        </w:tc>
        <w:tc>
          <w:tcPr>
            <w:tcW w:w="944" w:type="pct"/>
          </w:tcPr>
          <w:p w14:paraId="48F9EB2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83FBE82" w14:textId="36C04018" w:rsidTr="003F39D9">
        <w:trPr>
          <w:trHeight w:val="1200"/>
        </w:trPr>
        <w:tc>
          <w:tcPr>
            <w:tcW w:w="306" w:type="pct"/>
          </w:tcPr>
          <w:p w14:paraId="6C64348D"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3D46130" w14:textId="77777777" w:rsidR="00586E7F"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kontrolę reakcji krzyżowych między zleceniem a alergią, w tym:</w:t>
            </w:r>
          </w:p>
          <w:p w14:paraId="6B1612A8" w14:textId="284250E8"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Ocena reakcji krzyżowych między rodzinami leków.</w:t>
            </w:r>
          </w:p>
          <w:p w14:paraId="136B58CE" w14:textId="61C65346"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Ocena reakcji krzyżowych między lekami w ramach tej samej podrodziny leków i w różnych podrodzinach w tej samej rodzinie leków.</w:t>
            </w:r>
          </w:p>
          <w:p w14:paraId="3AF65C4D" w14:textId="72A97207" w:rsidR="003F39D9"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 xml:space="preserve">Ocena reakcji krzyżowych między produktami </w:t>
            </w:r>
            <w:proofErr w:type="spellStart"/>
            <w:r w:rsidRPr="00586E7F">
              <w:rPr>
                <w:rFonts w:ascii="Calibri" w:eastAsia="Times New Roman" w:hAnsi="Calibri" w:cs="Calibri"/>
                <w:color w:val="000001"/>
                <w:kern w:val="0"/>
                <w:sz w:val="22"/>
                <w:szCs w:val="22"/>
                <w:lang w:eastAsia="pl-PL"/>
                <w14:ligatures w14:val="none"/>
              </w:rPr>
              <w:t>nielekowymi</w:t>
            </w:r>
            <w:proofErr w:type="spellEnd"/>
            <w:r w:rsidRPr="00586E7F">
              <w:rPr>
                <w:rFonts w:ascii="Calibri" w:eastAsia="Times New Roman" w:hAnsi="Calibri" w:cs="Calibri"/>
                <w:color w:val="000001"/>
                <w:kern w:val="0"/>
                <w:sz w:val="22"/>
                <w:szCs w:val="22"/>
                <w:lang w:eastAsia="pl-PL"/>
                <w14:ligatures w14:val="none"/>
              </w:rPr>
              <w:t xml:space="preserve"> a składnikami, które wchodzą w reakcję krzyżową (np. jaja i szczepionka przeciw grypie).</w:t>
            </w:r>
          </w:p>
        </w:tc>
        <w:tc>
          <w:tcPr>
            <w:tcW w:w="944" w:type="pct"/>
          </w:tcPr>
          <w:p w14:paraId="0867A04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701BA72" w14:textId="0A7C892E" w:rsidTr="003F39D9">
        <w:trPr>
          <w:trHeight w:val="600"/>
        </w:trPr>
        <w:tc>
          <w:tcPr>
            <w:tcW w:w="306" w:type="pct"/>
          </w:tcPr>
          <w:p w14:paraId="68AAD612"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07C2E1B" w14:textId="5B4106B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uruchamia kontrole przeciwwskazań do przyjmowania leków i substancji z uwagi na alergie w oparciu o określone działania użytkownika i systemu. Ta kontrola określi, czy jakikolwiek lek, roztwór, dodatek i składnik w zleceniach bezpośrednio lub krzyżowo reaguje z nowymi i zaktualizowanymi alergiami pacjenta.</w:t>
            </w:r>
          </w:p>
        </w:tc>
        <w:tc>
          <w:tcPr>
            <w:tcW w:w="944" w:type="pct"/>
          </w:tcPr>
          <w:p w14:paraId="66A764D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FE75145" w14:textId="3ED3FEEB" w:rsidTr="003F39D9">
        <w:trPr>
          <w:trHeight w:val="1800"/>
        </w:trPr>
        <w:tc>
          <w:tcPr>
            <w:tcW w:w="306" w:type="pct"/>
          </w:tcPr>
          <w:p w14:paraId="3797D22D"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B175874" w14:textId="77777777" w:rsidR="00586E7F"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Kontrole alergii i nietolerancji przeprowadzane są pod kątem:</w:t>
            </w:r>
          </w:p>
          <w:p w14:paraId="505E7B6B" w14:textId="77777777" w:rsid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Aktywnych zleceń pacjenta i planowanych dawek (plan leczenia)</w:t>
            </w:r>
            <w:r w:rsidR="00586E7F">
              <w:rPr>
                <w:rFonts w:ascii="Calibri" w:eastAsia="Times New Roman" w:hAnsi="Calibri" w:cs="Calibri"/>
                <w:color w:val="000001"/>
                <w:kern w:val="0"/>
                <w:sz w:val="22"/>
                <w:szCs w:val="22"/>
                <w:lang w:eastAsia="pl-PL"/>
                <w14:ligatures w14:val="none"/>
              </w:rPr>
              <w:t>.</w:t>
            </w:r>
          </w:p>
          <w:p w14:paraId="0DFA0290" w14:textId="77777777" w:rsid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Dawek, które zostały podane w określonym czasie.</w:t>
            </w:r>
          </w:p>
          <w:p w14:paraId="60ABE823" w14:textId="77777777" w:rsid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Wlewów, które były i są obecnie podawane pacjentowi i które są importowane do nowego oddziału (w przypadku transportu pacjent)</w:t>
            </w:r>
          </w:p>
          <w:p w14:paraId="252673F7" w14:textId="77777777" w:rsid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Pojedynczych nowych planów zleceń.</w:t>
            </w:r>
          </w:p>
          <w:p w14:paraId="385A6BD3" w14:textId="16B47CDA" w:rsidR="003F39D9" w:rsidRPr="00A17E7B"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Pojedynczych nowych dawek.</w:t>
            </w:r>
          </w:p>
        </w:tc>
        <w:tc>
          <w:tcPr>
            <w:tcW w:w="944" w:type="pct"/>
          </w:tcPr>
          <w:p w14:paraId="65E7586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A3DEFF5" w14:textId="77378237" w:rsidTr="003F39D9">
        <w:trPr>
          <w:trHeight w:val="2100"/>
        </w:trPr>
        <w:tc>
          <w:tcPr>
            <w:tcW w:w="306" w:type="pct"/>
          </w:tcPr>
          <w:p w14:paraId="446D5832"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E5BBD16" w14:textId="77777777" w:rsidR="00586E7F"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konfigurację działań, które uruchamiają kontrolę alergii i nietolerancji, w tym:</w:t>
            </w:r>
          </w:p>
          <w:p w14:paraId="62EC026B" w14:textId="7DADC496"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się po zaplanowaniu nowego leczenia (zlecenie i dawka).</w:t>
            </w:r>
          </w:p>
          <w:p w14:paraId="006487D0" w14:textId="77777777"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kontrolę za każdym razem, gdy alergie i nietolerancje pacjenta są aktualizowane/modyfikowane.</w:t>
            </w:r>
          </w:p>
          <w:p w14:paraId="0C7BC22A" w14:textId="77777777"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kontrolę, gdy zmieni się status pacjenta.</w:t>
            </w:r>
          </w:p>
          <w:p w14:paraId="22FA68AF" w14:textId="77777777"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się po wyświetleniu monitu użytkownika.</w:t>
            </w:r>
          </w:p>
          <w:p w14:paraId="603CA8FF" w14:textId="77777777" w:rsidR="00586E7F"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kontrolę bieżących dawek dla pacjenta przyjmowanego na inny oddział.</w:t>
            </w:r>
          </w:p>
          <w:p w14:paraId="6825B92D" w14:textId="5CC7ADD6" w:rsidR="003F39D9" w:rsidRPr="00586E7F" w:rsidRDefault="003F39D9" w:rsidP="00586E7F">
            <w:pPr>
              <w:pStyle w:val="Akapitzlist"/>
              <w:numPr>
                <w:ilvl w:val="0"/>
                <w:numId w:val="8"/>
              </w:numPr>
              <w:spacing w:after="0" w:line="240" w:lineRule="auto"/>
              <w:ind w:left="364" w:hanging="284"/>
              <w:rPr>
                <w:rFonts w:ascii="Calibri" w:eastAsia="Times New Roman" w:hAnsi="Calibri" w:cs="Calibri"/>
                <w:color w:val="000001"/>
                <w:kern w:val="0"/>
                <w:sz w:val="22"/>
                <w:szCs w:val="22"/>
                <w:lang w:eastAsia="pl-PL"/>
                <w14:ligatures w14:val="none"/>
              </w:rPr>
            </w:pPr>
            <w:r w:rsidRPr="00586E7F">
              <w:rPr>
                <w:rFonts w:ascii="Calibri" w:eastAsia="Times New Roman" w:hAnsi="Calibri" w:cs="Calibri"/>
                <w:color w:val="000001"/>
                <w:kern w:val="0"/>
                <w:sz w:val="22"/>
                <w:szCs w:val="22"/>
                <w:lang w:eastAsia="pl-PL"/>
                <w14:ligatures w14:val="none"/>
              </w:rPr>
              <w:t>Uruchamia kontrolę planu leczenia po zaimportowaniu powiadomień o alergii dla pacjenta przyjmowanego na inny oddział.</w:t>
            </w:r>
          </w:p>
        </w:tc>
        <w:tc>
          <w:tcPr>
            <w:tcW w:w="944" w:type="pct"/>
          </w:tcPr>
          <w:p w14:paraId="278B828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74704D4" w14:textId="2E1B22FA" w:rsidTr="003F39D9">
        <w:trPr>
          <w:trHeight w:val="600"/>
        </w:trPr>
        <w:tc>
          <w:tcPr>
            <w:tcW w:w="306" w:type="pct"/>
          </w:tcPr>
          <w:p w14:paraId="11C90E3F"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52B401B" w14:textId="31DD4C6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ostrzeże użytkownika, jeśli kontrola alergii jest pozytywna. Zasady ostrzegania można ustawić zgodnie z poziomem ważności reakcji, m.in. zabronienie zlecenia leku, wymóg ponownego wprowadzenia hasła, wymóg wspólnego podpisu, wymóg uzasadnienia wprowadzenia zlecenia pomimo alergii, wymóg potwierdzenia, zezwolenie na akcję, zignorowanie ostrzeżenia.</w:t>
            </w:r>
          </w:p>
        </w:tc>
        <w:tc>
          <w:tcPr>
            <w:tcW w:w="944" w:type="pct"/>
          </w:tcPr>
          <w:p w14:paraId="6219918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BDD7E1A" w14:textId="09F1F265" w:rsidTr="003F39D9">
        <w:trPr>
          <w:trHeight w:val="300"/>
        </w:trPr>
        <w:tc>
          <w:tcPr>
            <w:tcW w:w="306" w:type="pct"/>
          </w:tcPr>
          <w:p w14:paraId="148489E4"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A911B9F" w14:textId="69343FE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konfigurację okresu czasu, po którym powtarzające się alerty zostaną wstrzymane.</w:t>
            </w:r>
          </w:p>
        </w:tc>
        <w:tc>
          <w:tcPr>
            <w:tcW w:w="944" w:type="pct"/>
          </w:tcPr>
          <w:p w14:paraId="21ECBF3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21F599A" w14:textId="126FA4FA" w:rsidTr="003F39D9">
        <w:trPr>
          <w:trHeight w:val="300"/>
        </w:trPr>
        <w:tc>
          <w:tcPr>
            <w:tcW w:w="306" w:type="pct"/>
          </w:tcPr>
          <w:p w14:paraId="1C81366C"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B3B6F09" w14:textId="3BAAA4C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konfigurację określonych działań, związanych ze zleceniami i podażą, które uruchomią kontrolę alergii.</w:t>
            </w:r>
          </w:p>
        </w:tc>
        <w:tc>
          <w:tcPr>
            <w:tcW w:w="944" w:type="pct"/>
          </w:tcPr>
          <w:p w14:paraId="6018CD0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219D1CE" w14:textId="327F81CE" w:rsidTr="003F39D9">
        <w:trPr>
          <w:trHeight w:val="300"/>
        </w:trPr>
        <w:tc>
          <w:tcPr>
            <w:tcW w:w="306" w:type="pct"/>
          </w:tcPr>
          <w:p w14:paraId="5357A02E"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7BD3EAB" w14:textId="2411A0E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umożliwia konfigurację zasad kontroli </w:t>
            </w:r>
            <w:proofErr w:type="spellStart"/>
            <w:r w:rsidRPr="00A17E7B">
              <w:rPr>
                <w:rFonts w:ascii="Calibri" w:eastAsia="Times New Roman" w:hAnsi="Calibri" w:cs="Calibri"/>
                <w:color w:val="000001"/>
                <w:kern w:val="0"/>
                <w:sz w:val="22"/>
                <w:szCs w:val="22"/>
                <w:lang w:eastAsia="pl-PL"/>
                <w14:ligatures w14:val="none"/>
              </w:rPr>
              <w:t>alergi</w:t>
            </w:r>
            <w:proofErr w:type="spellEnd"/>
            <w:r w:rsidRPr="00A17E7B">
              <w:rPr>
                <w:rFonts w:ascii="Calibri" w:eastAsia="Times New Roman" w:hAnsi="Calibri" w:cs="Calibri"/>
                <w:color w:val="000001"/>
                <w:kern w:val="0"/>
                <w:sz w:val="22"/>
                <w:szCs w:val="22"/>
                <w:lang w:eastAsia="pl-PL"/>
                <w14:ligatures w14:val="none"/>
              </w:rPr>
              <w:t xml:space="preserve"> oddzielnie dla każdego z oddziałów.</w:t>
            </w:r>
          </w:p>
        </w:tc>
        <w:tc>
          <w:tcPr>
            <w:tcW w:w="944" w:type="pct"/>
          </w:tcPr>
          <w:p w14:paraId="60A38F0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B52565F" w14:textId="7DB20B07" w:rsidTr="003F39D9">
        <w:trPr>
          <w:trHeight w:val="300"/>
        </w:trPr>
        <w:tc>
          <w:tcPr>
            <w:tcW w:w="306" w:type="pct"/>
          </w:tcPr>
          <w:p w14:paraId="5F43A658"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392A1B4" w14:textId="63A8D6C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umożliwia konfigurację zasad kontroli zleceń w odniesieniu do </w:t>
            </w:r>
            <w:r w:rsidRPr="00A17E7B">
              <w:rPr>
                <w:rFonts w:ascii="Calibri" w:eastAsia="Times New Roman" w:hAnsi="Calibri" w:cs="Calibri"/>
                <w:color w:val="000001"/>
                <w:kern w:val="0"/>
                <w:sz w:val="22"/>
                <w:szCs w:val="22"/>
                <w:lang w:eastAsia="pl-PL"/>
                <w14:ligatures w14:val="none"/>
              </w:rPr>
              <w:lastRenderedPageBreak/>
              <w:t>alergii dla każdego typu użytkownika (m.in. różne ustawienia dla personelu medycznego i studentów/studentek pielęgniarstwa).</w:t>
            </w:r>
          </w:p>
        </w:tc>
        <w:tc>
          <w:tcPr>
            <w:tcW w:w="944" w:type="pct"/>
          </w:tcPr>
          <w:p w14:paraId="325DFA7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444053C" w14:textId="5A5D6DEE" w:rsidTr="003F39D9">
        <w:trPr>
          <w:trHeight w:val="300"/>
        </w:trPr>
        <w:tc>
          <w:tcPr>
            <w:tcW w:w="306" w:type="pct"/>
          </w:tcPr>
          <w:p w14:paraId="698E2744" w14:textId="77777777" w:rsidR="003F39D9" w:rsidRPr="00A17E7B" w:rsidRDefault="003F39D9" w:rsidP="00827561">
            <w:pPr>
              <w:pStyle w:val="Akapitzlist"/>
              <w:numPr>
                <w:ilvl w:val="0"/>
                <w:numId w:val="1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0C86E80" w14:textId="41515DF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Ikona alergii jest wyświetlana obok nazwy elementu zlecenia, we wszystkich miejscach systemu, w których wyświetlane są zlecenia i dawki.</w:t>
            </w:r>
          </w:p>
        </w:tc>
        <w:tc>
          <w:tcPr>
            <w:tcW w:w="944" w:type="pct"/>
          </w:tcPr>
          <w:p w14:paraId="4D4F3C1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091FC42A"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2FA93AE7" w14:textId="73C14F7D" w:rsidTr="003F39D9">
        <w:trPr>
          <w:trHeight w:val="315"/>
        </w:trPr>
        <w:tc>
          <w:tcPr>
            <w:tcW w:w="4056" w:type="pct"/>
            <w:gridSpan w:val="2"/>
          </w:tcPr>
          <w:p w14:paraId="58E04AFA" w14:textId="095C674A"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Prezentacja danych</w:t>
            </w:r>
          </w:p>
        </w:tc>
        <w:tc>
          <w:tcPr>
            <w:tcW w:w="944" w:type="pct"/>
          </w:tcPr>
          <w:p w14:paraId="5A136864"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276C988A" w14:textId="3598B971" w:rsidTr="003F39D9">
        <w:trPr>
          <w:trHeight w:val="3300"/>
        </w:trPr>
        <w:tc>
          <w:tcPr>
            <w:tcW w:w="306" w:type="pct"/>
          </w:tcPr>
          <w:p w14:paraId="0099B1F9"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A4580D8" w14:textId="16F643F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Ekran główny aplikacji zawiera / prezentuje:</w:t>
            </w:r>
            <w:r w:rsidRPr="00A17E7B">
              <w:rPr>
                <w:rFonts w:ascii="Calibri" w:eastAsia="Times New Roman" w:hAnsi="Calibri" w:cs="Calibri"/>
                <w:color w:val="000001"/>
                <w:kern w:val="0"/>
                <w:sz w:val="22"/>
                <w:szCs w:val="22"/>
                <w:lang w:eastAsia="pl-PL"/>
                <w14:ligatures w14:val="none"/>
              </w:rPr>
              <w:br/>
              <w:t>- paski wyświetlające najważniejsze informacje (m.in. dane pacjenta, dane użytkownika, alerty)</w:t>
            </w:r>
            <w:r w:rsidRPr="00A17E7B">
              <w:rPr>
                <w:rFonts w:ascii="Calibri" w:eastAsia="Times New Roman" w:hAnsi="Calibri" w:cs="Calibri"/>
                <w:color w:val="000001"/>
                <w:kern w:val="0"/>
                <w:sz w:val="22"/>
                <w:szCs w:val="22"/>
                <w:lang w:eastAsia="pl-PL"/>
                <w14:ligatures w14:val="none"/>
              </w:rPr>
              <w:br/>
              <w:t>- przyciski uruchamiające różne funkcje systemu wg preferencji użytkownika</w:t>
            </w:r>
            <w:r w:rsidRPr="00A17E7B">
              <w:rPr>
                <w:rFonts w:ascii="Calibri" w:eastAsia="Times New Roman" w:hAnsi="Calibri" w:cs="Calibri"/>
                <w:color w:val="000001"/>
                <w:kern w:val="0"/>
                <w:sz w:val="22"/>
                <w:szCs w:val="22"/>
                <w:lang w:eastAsia="pl-PL"/>
                <w14:ligatures w14:val="none"/>
              </w:rPr>
              <w:br/>
              <w:t>- zakładki, organizujące różne widoki</w:t>
            </w:r>
            <w:r w:rsidRPr="00A17E7B">
              <w:rPr>
                <w:rFonts w:ascii="Calibri" w:eastAsia="Times New Roman" w:hAnsi="Calibri" w:cs="Calibri"/>
                <w:color w:val="000001"/>
                <w:kern w:val="0"/>
                <w:sz w:val="22"/>
                <w:szCs w:val="22"/>
                <w:lang w:eastAsia="pl-PL"/>
                <w14:ligatures w14:val="none"/>
              </w:rPr>
              <w:br/>
              <w:t>- trendy graficzne na osi czasu – parametry życiowe, wyniki laboratoryjne, bilans płynów</w:t>
            </w:r>
            <w:r w:rsidRPr="00A17E7B">
              <w:rPr>
                <w:rFonts w:ascii="Calibri" w:eastAsia="Times New Roman" w:hAnsi="Calibri" w:cs="Calibri"/>
                <w:color w:val="000001"/>
                <w:kern w:val="0"/>
                <w:sz w:val="22"/>
                <w:szCs w:val="22"/>
                <w:lang w:eastAsia="pl-PL"/>
                <w14:ligatures w14:val="none"/>
              </w:rPr>
              <w:br/>
              <w:t>- tabele z wynikami na osi czasu – parametry życiowe, skale, wyniki laboratoryjne, bilans płynów</w:t>
            </w:r>
            <w:r w:rsidRPr="00A17E7B">
              <w:rPr>
                <w:rFonts w:ascii="Calibri" w:eastAsia="Times New Roman" w:hAnsi="Calibri" w:cs="Calibri"/>
                <w:color w:val="000001"/>
                <w:kern w:val="0"/>
                <w:sz w:val="22"/>
                <w:szCs w:val="22"/>
                <w:lang w:eastAsia="pl-PL"/>
                <w14:ligatures w14:val="none"/>
              </w:rPr>
              <w:br/>
              <w:t>- zlecenia i podaże na osi czasu</w:t>
            </w:r>
            <w:r w:rsidRPr="00A17E7B">
              <w:rPr>
                <w:rFonts w:ascii="Calibri" w:eastAsia="Times New Roman" w:hAnsi="Calibri" w:cs="Calibri"/>
                <w:color w:val="000001"/>
                <w:kern w:val="0"/>
                <w:sz w:val="22"/>
                <w:szCs w:val="22"/>
                <w:lang w:eastAsia="pl-PL"/>
                <w14:ligatures w14:val="none"/>
              </w:rPr>
              <w:br/>
              <w:t>- zdarzenia kliniczne na osi czasu</w:t>
            </w:r>
            <w:r w:rsidRPr="00A17E7B">
              <w:rPr>
                <w:rFonts w:ascii="Calibri" w:eastAsia="Times New Roman" w:hAnsi="Calibri" w:cs="Calibri"/>
                <w:color w:val="000001"/>
                <w:kern w:val="0"/>
                <w:sz w:val="22"/>
                <w:szCs w:val="22"/>
                <w:lang w:eastAsia="pl-PL"/>
                <w14:ligatures w14:val="none"/>
              </w:rPr>
              <w:br/>
              <w:t>- wkłucia z prezentacją graficzną miejsca wkłucia na schemacie graficznym symbolizującym pacjenta</w:t>
            </w:r>
            <w:r w:rsidRPr="00A17E7B">
              <w:rPr>
                <w:rFonts w:ascii="Calibri" w:eastAsia="Times New Roman" w:hAnsi="Calibri" w:cs="Calibri"/>
                <w:color w:val="000001"/>
                <w:kern w:val="0"/>
                <w:sz w:val="22"/>
                <w:szCs w:val="22"/>
                <w:lang w:eastAsia="pl-PL"/>
                <w14:ligatures w14:val="none"/>
              </w:rPr>
              <w:br/>
              <w:t>- rany, odleżyny, dreny z prezentacją graficzną (niezależną od dokumentacji wkłuć) lokalizacji na schemacie symbolizującym pacjenta</w:t>
            </w:r>
            <w:r w:rsidRPr="00A17E7B">
              <w:rPr>
                <w:rFonts w:ascii="Calibri" w:eastAsia="Times New Roman" w:hAnsi="Calibri" w:cs="Calibri"/>
                <w:color w:val="000001"/>
                <w:kern w:val="0"/>
                <w:sz w:val="22"/>
                <w:szCs w:val="22"/>
                <w:lang w:eastAsia="pl-PL"/>
                <w14:ligatures w14:val="none"/>
              </w:rPr>
              <w:br/>
              <w:t>Układ i zawartość ekranu aplikacji musi podlegać konfiguracji.</w:t>
            </w:r>
          </w:p>
        </w:tc>
        <w:tc>
          <w:tcPr>
            <w:tcW w:w="944" w:type="pct"/>
          </w:tcPr>
          <w:p w14:paraId="3F0EFA3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7953442" w14:textId="3CA20BD6" w:rsidTr="003F39D9">
        <w:trPr>
          <w:trHeight w:val="600"/>
        </w:trPr>
        <w:tc>
          <w:tcPr>
            <w:tcW w:w="306" w:type="pct"/>
          </w:tcPr>
          <w:p w14:paraId="693AA614"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C24B735" w14:textId="72248F4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Użytkownik systemu może na bieżąco dostosowywać wielkość widoków graficznych, tabelarycznych zleceń i podaży, a także ukryć widok, który w danym momencie nie zawiera istotnych informacji. Po wylogowaniu lub odświeżeniu, ustawienia wracają do wielkości domyślnych.</w:t>
            </w:r>
          </w:p>
        </w:tc>
        <w:tc>
          <w:tcPr>
            <w:tcW w:w="944" w:type="pct"/>
          </w:tcPr>
          <w:p w14:paraId="2FACF440" w14:textId="5F55BEFD"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2D39DBBE" w14:textId="1922F71F" w:rsidTr="003F39D9">
        <w:trPr>
          <w:trHeight w:val="300"/>
        </w:trPr>
        <w:tc>
          <w:tcPr>
            <w:tcW w:w="306" w:type="pct"/>
          </w:tcPr>
          <w:p w14:paraId="153ED7EC"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202B72C" w14:textId="0A024C8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ma możliwość personalizacji wyglądu aplikacji dla każdego typu użytkownika m.in. w zakresie kolorystyki oraz ilości i kolejności zakładek i przycisków.</w:t>
            </w:r>
          </w:p>
        </w:tc>
        <w:tc>
          <w:tcPr>
            <w:tcW w:w="944" w:type="pct"/>
          </w:tcPr>
          <w:p w14:paraId="6D6F18C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5DDF679" w14:textId="5A15A2AA" w:rsidTr="003F39D9">
        <w:trPr>
          <w:trHeight w:val="300"/>
        </w:trPr>
        <w:tc>
          <w:tcPr>
            <w:tcW w:w="306" w:type="pct"/>
          </w:tcPr>
          <w:p w14:paraId="1C8FC95B"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FAFC9D0" w14:textId="26EE3C6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wyboru interwału wyświetlania kolumn (min. 1 min – 24h, tryb oparty na danych [ukrywanie interwałów, w których nie ma danych] oraz  tryb oparty na zakładkach).</w:t>
            </w:r>
          </w:p>
        </w:tc>
        <w:tc>
          <w:tcPr>
            <w:tcW w:w="944" w:type="pct"/>
          </w:tcPr>
          <w:p w14:paraId="0B0E4C05" w14:textId="778CE206"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F87BBD4" w14:textId="3E8723BF" w:rsidTr="003F39D9">
        <w:trPr>
          <w:trHeight w:val="300"/>
        </w:trPr>
        <w:tc>
          <w:tcPr>
            <w:tcW w:w="306" w:type="pct"/>
          </w:tcPr>
          <w:p w14:paraId="6C43F473"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F45457E" w14:textId="5E94003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wyświetlenia danych pacjenta z zadanego dnia i godziny, z momentu przejęcia na oddział, przeniesienia na inny oddział, wypisania.</w:t>
            </w:r>
          </w:p>
        </w:tc>
        <w:tc>
          <w:tcPr>
            <w:tcW w:w="944" w:type="pct"/>
          </w:tcPr>
          <w:p w14:paraId="61733E9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60A75A3" w14:textId="1D35D9EA" w:rsidTr="003F39D9">
        <w:trPr>
          <w:trHeight w:val="300"/>
        </w:trPr>
        <w:tc>
          <w:tcPr>
            <w:tcW w:w="306" w:type="pct"/>
          </w:tcPr>
          <w:p w14:paraId="294EFEDD"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53D91AD" w14:textId="0605D87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Powrót do wyświetlania danych w aktualnym czasie dostępny pod jednym przyciskiem.</w:t>
            </w:r>
          </w:p>
        </w:tc>
        <w:tc>
          <w:tcPr>
            <w:tcW w:w="944" w:type="pct"/>
          </w:tcPr>
          <w:p w14:paraId="35F5A76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EE91337" w14:textId="2C24A3AA" w:rsidTr="003F39D9">
        <w:trPr>
          <w:trHeight w:val="300"/>
        </w:trPr>
        <w:tc>
          <w:tcPr>
            <w:tcW w:w="306" w:type="pct"/>
          </w:tcPr>
          <w:p w14:paraId="0F9EC91F"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A4FB53F" w14:textId="56943AC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Przyciski do przewijania do przodu i wstecz o jedną kolumnę i o całą stronę.</w:t>
            </w:r>
          </w:p>
        </w:tc>
        <w:tc>
          <w:tcPr>
            <w:tcW w:w="944" w:type="pct"/>
          </w:tcPr>
          <w:p w14:paraId="14A78AE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DBE7120" w14:textId="7A8860BC" w:rsidTr="003F39D9">
        <w:trPr>
          <w:trHeight w:val="300"/>
        </w:trPr>
        <w:tc>
          <w:tcPr>
            <w:tcW w:w="306" w:type="pct"/>
          </w:tcPr>
          <w:p w14:paraId="77915919"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E93234E" w14:textId="599656E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wyświetlenia wszystkich interwałów czasu, w których znajdują się dane.  </w:t>
            </w:r>
          </w:p>
        </w:tc>
        <w:tc>
          <w:tcPr>
            <w:tcW w:w="944" w:type="pct"/>
          </w:tcPr>
          <w:p w14:paraId="5CF3FB9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7F28C2D" w14:textId="1706B97A" w:rsidTr="003F39D9">
        <w:trPr>
          <w:trHeight w:val="300"/>
        </w:trPr>
        <w:tc>
          <w:tcPr>
            <w:tcW w:w="306" w:type="pct"/>
          </w:tcPr>
          <w:p w14:paraId="01FF35FE"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E06DA54" w14:textId="1E140B3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wyświetlenia wszystkich interwałów czasu, w których znajdują się zatwierdzone przez personel medyczny dane.  </w:t>
            </w:r>
          </w:p>
        </w:tc>
        <w:tc>
          <w:tcPr>
            <w:tcW w:w="944" w:type="pct"/>
          </w:tcPr>
          <w:p w14:paraId="780641F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CADC5B0" w14:textId="231D162B" w:rsidTr="003F39D9">
        <w:trPr>
          <w:trHeight w:val="300"/>
        </w:trPr>
        <w:tc>
          <w:tcPr>
            <w:tcW w:w="306" w:type="pct"/>
          </w:tcPr>
          <w:p w14:paraId="0E109447"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EF87503" w14:textId="36C7122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ukrycia danych oznaczonych jako błędne.</w:t>
            </w:r>
          </w:p>
        </w:tc>
        <w:tc>
          <w:tcPr>
            <w:tcW w:w="944" w:type="pct"/>
          </w:tcPr>
          <w:p w14:paraId="2DE8321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3A472C5" w14:textId="3FD62DE4" w:rsidTr="003F39D9">
        <w:trPr>
          <w:trHeight w:val="300"/>
        </w:trPr>
        <w:tc>
          <w:tcPr>
            <w:tcW w:w="306" w:type="pct"/>
          </w:tcPr>
          <w:p w14:paraId="1FD4DFF2"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185C35B" w14:textId="2D15290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ukrycia lub pokazania pustych wierszy tabeli, w których nie ma danych.</w:t>
            </w:r>
          </w:p>
        </w:tc>
        <w:tc>
          <w:tcPr>
            <w:tcW w:w="944" w:type="pct"/>
          </w:tcPr>
          <w:p w14:paraId="16AB4AA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3BA8549" w14:textId="445B1BA4" w:rsidTr="003F39D9">
        <w:trPr>
          <w:trHeight w:val="600"/>
        </w:trPr>
        <w:tc>
          <w:tcPr>
            <w:tcW w:w="306" w:type="pct"/>
          </w:tcPr>
          <w:p w14:paraId="499D5142"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6D3BB05" w14:textId="44A002E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wyświetlenie kombinacji dowolnych monitorowanych wartości z różnych źródeł (np. aparatura medyczna, dane laboratoryjne i dane wprowadzone przez użytkownika) na jednym wykresie i tabeli.</w:t>
            </w:r>
          </w:p>
        </w:tc>
        <w:tc>
          <w:tcPr>
            <w:tcW w:w="944" w:type="pct"/>
          </w:tcPr>
          <w:p w14:paraId="764046E7" w14:textId="72C7F284"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152543B4" w14:textId="1AED1471" w:rsidTr="003F39D9">
        <w:trPr>
          <w:trHeight w:val="300"/>
        </w:trPr>
        <w:tc>
          <w:tcPr>
            <w:tcW w:w="306" w:type="pct"/>
          </w:tcPr>
          <w:p w14:paraId="3152F6AB"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5980C85" w14:textId="334320E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Funkcja ręcznego ustawienia zakładek w celu zaznaczania wybranych </w:t>
            </w:r>
            <w:r w:rsidRPr="00A17E7B">
              <w:rPr>
                <w:rFonts w:ascii="Calibri" w:eastAsia="Times New Roman" w:hAnsi="Calibri" w:cs="Calibri"/>
                <w:color w:val="000001"/>
                <w:kern w:val="0"/>
                <w:sz w:val="22"/>
                <w:szCs w:val="22"/>
                <w:lang w:eastAsia="pl-PL"/>
                <w14:ligatures w14:val="none"/>
              </w:rPr>
              <w:lastRenderedPageBreak/>
              <w:t>kolumn np. zawierających istotne dane kliniczne.</w:t>
            </w:r>
          </w:p>
        </w:tc>
        <w:tc>
          <w:tcPr>
            <w:tcW w:w="944" w:type="pct"/>
          </w:tcPr>
          <w:p w14:paraId="1435E4B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7539C3F" w14:textId="72949DD1" w:rsidTr="003F39D9">
        <w:trPr>
          <w:trHeight w:val="300"/>
        </w:trPr>
        <w:tc>
          <w:tcPr>
            <w:tcW w:w="306" w:type="pct"/>
          </w:tcPr>
          <w:p w14:paraId="32D9FEEB"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1A30DC2" w14:textId="56CDDE6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dodawania zdarzeń klinicznych. Wybór spośród predefiniowanej listy z możliwością dodania komentarza. Możliwość edycji wcześniej wprowadzonego zdarzenia oraz oznaczenia go jako błąd.</w:t>
            </w:r>
          </w:p>
        </w:tc>
        <w:tc>
          <w:tcPr>
            <w:tcW w:w="944" w:type="pct"/>
          </w:tcPr>
          <w:p w14:paraId="4A774A7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4B519C7" w14:textId="5D71AF72" w:rsidTr="003F39D9">
        <w:trPr>
          <w:trHeight w:val="300"/>
        </w:trPr>
        <w:tc>
          <w:tcPr>
            <w:tcW w:w="306" w:type="pct"/>
          </w:tcPr>
          <w:p w14:paraId="7C4F94D7"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D9E15BF" w14:textId="70154D9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 udokumentowani zdarzenia, wyświetla się ono na liście wraz z datą i godzina oraz w dedykowanym sektorze zdarzeń na osi czasu z prezentacją graficzną/ ikoną.</w:t>
            </w:r>
          </w:p>
        </w:tc>
        <w:tc>
          <w:tcPr>
            <w:tcW w:w="944" w:type="pct"/>
          </w:tcPr>
          <w:p w14:paraId="6D6482E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A027B11" w14:textId="43FFA81F" w:rsidTr="003F39D9">
        <w:trPr>
          <w:trHeight w:val="600"/>
        </w:trPr>
        <w:tc>
          <w:tcPr>
            <w:tcW w:w="306" w:type="pct"/>
          </w:tcPr>
          <w:p w14:paraId="7619C584"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2AAB586" w14:textId="140DF26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dodania do listy dowolnego nowego zdarzenia, które po udokumentowaniu wyświetli się na liście wraz z datą i godzina oraz w dedykowanym sektorze zdarzeń na osi czasu z prezentacją graficzną/ ikoną.</w:t>
            </w:r>
          </w:p>
        </w:tc>
        <w:tc>
          <w:tcPr>
            <w:tcW w:w="944" w:type="pct"/>
          </w:tcPr>
          <w:p w14:paraId="41E1880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23718D7" w14:textId="042B4092" w:rsidTr="003F39D9">
        <w:trPr>
          <w:trHeight w:val="300"/>
        </w:trPr>
        <w:tc>
          <w:tcPr>
            <w:tcW w:w="306" w:type="pct"/>
          </w:tcPr>
          <w:p w14:paraId="0B9AF06C"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C382D84" w14:textId="55BB403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wprowadzania wybranych zdarzeń za pomocą skonfigurowanych przycisków – wprowadzenie zdarzenia odbywa się poprzez jedno kliknięcie.</w:t>
            </w:r>
          </w:p>
        </w:tc>
        <w:tc>
          <w:tcPr>
            <w:tcW w:w="944" w:type="pct"/>
          </w:tcPr>
          <w:p w14:paraId="0A58C8F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AE8336C" w14:textId="0B22F18B" w:rsidTr="003F39D9">
        <w:trPr>
          <w:trHeight w:val="300"/>
        </w:trPr>
        <w:tc>
          <w:tcPr>
            <w:tcW w:w="306" w:type="pct"/>
          </w:tcPr>
          <w:p w14:paraId="4EBDB9A4"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6C0BB8E" w14:textId="5206176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umożliwiająca komunikację między użytkownikami systemu, przesyłanie wiadomości oraz powiadomienia. Możliwość przypisania do wiadomości pacjenta (i grupy pacjentów) którego ona dotyczy.</w:t>
            </w:r>
          </w:p>
        </w:tc>
        <w:tc>
          <w:tcPr>
            <w:tcW w:w="944" w:type="pct"/>
          </w:tcPr>
          <w:p w14:paraId="5699295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6F01665" w14:textId="4CD442F4" w:rsidTr="003F39D9">
        <w:trPr>
          <w:trHeight w:val="3900"/>
        </w:trPr>
        <w:tc>
          <w:tcPr>
            <w:tcW w:w="306" w:type="pct"/>
          </w:tcPr>
          <w:p w14:paraId="72B385ED"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9095AE1" w14:textId="460BBAA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Zbiorczy widok wielu pacjentów zawierający co najmniej następujące dane dla każdego z nich:</w:t>
            </w:r>
            <w:r w:rsidRPr="00A17E7B">
              <w:rPr>
                <w:rFonts w:ascii="Calibri" w:eastAsia="Times New Roman" w:hAnsi="Calibri" w:cs="Calibri"/>
                <w:color w:val="000001"/>
                <w:kern w:val="0"/>
                <w:sz w:val="22"/>
                <w:szCs w:val="22"/>
                <w:lang w:eastAsia="pl-PL"/>
                <w14:ligatures w14:val="none"/>
              </w:rPr>
              <w:br/>
              <w:t>- imię i nazwisko</w:t>
            </w:r>
            <w:r w:rsidRPr="00A17E7B">
              <w:rPr>
                <w:rFonts w:ascii="Calibri" w:eastAsia="Times New Roman" w:hAnsi="Calibri" w:cs="Calibri"/>
                <w:color w:val="000001"/>
                <w:kern w:val="0"/>
                <w:sz w:val="22"/>
                <w:szCs w:val="22"/>
                <w:lang w:eastAsia="pl-PL"/>
                <w14:ligatures w14:val="none"/>
              </w:rPr>
              <w:br/>
              <w:t xml:space="preserve">- podstawowe parametry życiowe </w:t>
            </w:r>
            <w:r w:rsidRPr="00A17E7B">
              <w:rPr>
                <w:rFonts w:ascii="Calibri" w:eastAsia="Times New Roman" w:hAnsi="Calibri" w:cs="Calibri"/>
                <w:color w:val="000001"/>
                <w:kern w:val="0"/>
                <w:sz w:val="22"/>
                <w:szCs w:val="22"/>
                <w:lang w:eastAsia="pl-PL"/>
                <w14:ligatures w14:val="none"/>
              </w:rPr>
              <w:br/>
              <w:t>- rozpoznanie / diagnoza</w:t>
            </w:r>
            <w:r w:rsidRPr="00A17E7B">
              <w:rPr>
                <w:rFonts w:ascii="Calibri" w:eastAsia="Times New Roman" w:hAnsi="Calibri" w:cs="Calibri"/>
                <w:color w:val="000001"/>
                <w:kern w:val="0"/>
                <w:sz w:val="22"/>
                <w:szCs w:val="22"/>
                <w:lang w:eastAsia="pl-PL"/>
                <w14:ligatures w14:val="none"/>
              </w:rPr>
              <w:br/>
              <w:t>- status alergii</w:t>
            </w:r>
            <w:r w:rsidRPr="00A17E7B">
              <w:rPr>
                <w:rFonts w:ascii="Calibri" w:eastAsia="Times New Roman" w:hAnsi="Calibri" w:cs="Calibri"/>
                <w:color w:val="000001"/>
                <w:kern w:val="0"/>
                <w:sz w:val="22"/>
                <w:szCs w:val="22"/>
                <w:lang w:eastAsia="pl-PL"/>
                <w14:ligatures w14:val="none"/>
              </w:rPr>
              <w:br/>
              <w:t>- wyniki laboratoryjne</w:t>
            </w:r>
            <w:r w:rsidRPr="00A17E7B">
              <w:rPr>
                <w:rFonts w:ascii="Calibri" w:eastAsia="Times New Roman" w:hAnsi="Calibri" w:cs="Calibri"/>
                <w:color w:val="000001"/>
                <w:kern w:val="0"/>
                <w:sz w:val="22"/>
                <w:szCs w:val="22"/>
                <w:lang w:eastAsia="pl-PL"/>
                <w14:ligatures w14:val="none"/>
              </w:rPr>
              <w:br/>
              <w:t>- ocena wg wybranej skali (np. EWS)</w:t>
            </w:r>
            <w:r w:rsidRPr="00A17E7B">
              <w:rPr>
                <w:rFonts w:ascii="Calibri" w:eastAsia="Times New Roman" w:hAnsi="Calibri" w:cs="Calibri"/>
                <w:color w:val="000001"/>
                <w:kern w:val="0"/>
                <w:sz w:val="22"/>
                <w:szCs w:val="22"/>
                <w:lang w:eastAsia="pl-PL"/>
                <w14:ligatures w14:val="none"/>
              </w:rPr>
              <w:br/>
              <w:t>- dane lekarza prowadzącego</w:t>
            </w:r>
            <w:r w:rsidRPr="00A17E7B">
              <w:rPr>
                <w:rFonts w:ascii="Calibri" w:eastAsia="Times New Roman" w:hAnsi="Calibri" w:cs="Calibri"/>
                <w:color w:val="000001"/>
                <w:kern w:val="0"/>
                <w:sz w:val="22"/>
                <w:szCs w:val="22"/>
                <w:lang w:eastAsia="pl-PL"/>
                <w14:ligatures w14:val="none"/>
              </w:rPr>
              <w:br/>
              <w:t>Poszczególne elementy oznaczone są kolorami i ikonami.</w:t>
            </w:r>
            <w:r w:rsidRPr="00A17E7B">
              <w:rPr>
                <w:rFonts w:ascii="Calibri" w:eastAsia="Times New Roman" w:hAnsi="Calibri" w:cs="Calibri"/>
                <w:color w:val="000001"/>
                <w:kern w:val="0"/>
                <w:sz w:val="22"/>
                <w:szCs w:val="22"/>
                <w:lang w:eastAsia="pl-PL"/>
                <w14:ligatures w14:val="none"/>
              </w:rPr>
              <w:br/>
              <w:t>Z poziomu zbiorczego widoku, bez jego zamykania i otwierania, można otworzyć i uzupełnić wybrany formularz dla poszczególnych pacjentów.</w:t>
            </w:r>
            <w:r w:rsidRPr="00A17E7B">
              <w:rPr>
                <w:rFonts w:ascii="Calibri" w:eastAsia="Times New Roman" w:hAnsi="Calibri" w:cs="Calibri"/>
                <w:color w:val="000001"/>
                <w:kern w:val="0"/>
                <w:sz w:val="22"/>
                <w:szCs w:val="22"/>
                <w:lang w:eastAsia="pl-PL"/>
                <w14:ligatures w14:val="none"/>
              </w:rPr>
              <w:br/>
              <w:t>Możliwość wyświetlenia widoku wielu pacjentów w trybie pełnoekranowym lub w pływającym oknie.</w:t>
            </w:r>
            <w:r w:rsidRPr="00A17E7B">
              <w:rPr>
                <w:rFonts w:ascii="Calibri" w:eastAsia="Times New Roman" w:hAnsi="Calibri" w:cs="Calibri"/>
                <w:color w:val="000001"/>
                <w:kern w:val="0"/>
                <w:sz w:val="22"/>
                <w:szCs w:val="22"/>
                <w:lang w:eastAsia="pl-PL"/>
                <w14:ligatures w14:val="none"/>
              </w:rPr>
              <w:br/>
              <w:t>Możliwość wydruku bezpośrednio z poziomu otwartego widoku zbiorczego pacjentów w postaci listy.</w:t>
            </w:r>
            <w:r w:rsidRPr="00A17E7B">
              <w:rPr>
                <w:rFonts w:ascii="Calibri" w:eastAsia="Times New Roman" w:hAnsi="Calibri" w:cs="Calibri"/>
                <w:color w:val="000001"/>
                <w:kern w:val="0"/>
                <w:sz w:val="22"/>
                <w:szCs w:val="22"/>
                <w:lang w:eastAsia="pl-PL"/>
                <w14:ligatures w14:val="none"/>
              </w:rPr>
              <w:br/>
              <w:t>Możliwość sortowania po wybrany parametrze,  m.in. parametrze życiowym, laboratoryjnym, wyniku skali, dacie przyjęcia, płci, wieku, rozpoznaniu itp.</w:t>
            </w:r>
          </w:p>
        </w:tc>
        <w:tc>
          <w:tcPr>
            <w:tcW w:w="944" w:type="pct"/>
          </w:tcPr>
          <w:p w14:paraId="06195BA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9EE7401" w14:textId="15DD639E" w:rsidTr="003F39D9">
        <w:trPr>
          <w:trHeight w:val="900"/>
        </w:trPr>
        <w:tc>
          <w:tcPr>
            <w:tcW w:w="306" w:type="pct"/>
          </w:tcPr>
          <w:p w14:paraId="019766C2"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398046D" w14:textId="6C25CF8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tworzenia własnych list pacjentów według kryteriów użytkownika, m.in. pacjenci przypisanymi do danego opiekuna, pacjenci w izolatkach, pacjenci wentylowani.</w:t>
            </w:r>
            <w:r w:rsidRPr="00A17E7B">
              <w:rPr>
                <w:rFonts w:ascii="Calibri" w:eastAsia="Times New Roman" w:hAnsi="Calibri" w:cs="Calibri"/>
                <w:color w:val="000001"/>
                <w:kern w:val="0"/>
                <w:sz w:val="22"/>
                <w:szCs w:val="22"/>
                <w:lang w:eastAsia="pl-PL"/>
                <w14:ligatures w14:val="none"/>
              </w:rPr>
              <w:br/>
              <w:t>Możliwość zdefiniowania rodzaju informacji widocznych dla danego, aktualnie zalogowanego użytkownika.</w:t>
            </w:r>
            <w:r w:rsidRPr="00A17E7B">
              <w:rPr>
                <w:rFonts w:ascii="Calibri" w:eastAsia="Times New Roman" w:hAnsi="Calibri" w:cs="Calibri"/>
                <w:color w:val="000001"/>
                <w:kern w:val="0"/>
                <w:sz w:val="22"/>
                <w:szCs w:val="22"/>
                <w:lang w:eastAsia="pl-PL"/>
                <w14:ligatures w14:val="none"/>
              </w:rPr>
              <w:br/>
              <w:t>Możliwość zdefiniowania grupy pacjentów widocznych dla danego, aktualnie zalogowanego użytkownika.</w:t>
            </w:r>
          </w:p>
        </w:tc>
        <w:tc>
          <w:tcPr>
            <w:tcW w:w="944" w:type="pct"/>
          </w:tcPr>
          <w:p w14:paraId="6943715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550BB19" w14:textId="5B605213" w:rsidTr="003F39D9">
        <w:trPr>
          <w:trHeight w:val="600"/>
        </w:trPr>
        <w:tc>
          <w:tcPr>
            <w:tcW w:w="306" w:type="pct"/>
          </w:tcPr>
          <w:p w14:paraId="4AA12225"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BE54339" w14:textId="08868A6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wglądu i edycji dokumentacji pacjenta z dowolnej stacji roboczej. W przypadku korzystania z systemu z poziomu innej stacji roboczej niż tej umiejscowionej przy stanowisku danego pacjenta, ekran główny będzie oznaczony w wyraźny sposób, np.. wyświetlona zostanie ramka w ostrzegawczym kolorze. </w:t>
            </w:r>
          </w:p>
        </w:tc>
        <w:tc>
          <w:tcPr>
            <w:tcW w:w="944" w:type="pct"/>
          </w:tcPr>
          <w:p w14:paraId="19398E9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07BAE73" w14:textId="501F77EA" w:rsidTr="003F39D9">
        <w:trPr>
          <w:trHeight w:val="600"/>
        </w:trPr>
        <w:tc>
          <w:tcPr>
            <w:tcW w:w="306" w:type="pct"/>
          </w:tcPr>
          <w:p w14:paraId="17E214A0"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5267C4E" w14:textId="6553957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Zbiorcza lista pacjentów dostępna jest również na ekranie głównym w sposób nie zasłaniający innych danych. Po wybraniu innego pacjenta, system prezentuje tę samą dokumentację, która była otwarta przy </w:t>
            </w:r>
            <w:r w:rsidRPr="00A17E7B">
              <w:rPr>
                <w:rFonts w:ascii="Calibri" w:eastAsia="Times New Roman" w:hAnsi="Calibri" w:cs="Calibri"/>
                <w:color w:val="000001"/>
                <w:kern w:val="0"/>
                <w:sz w:val="22"/>
                <w:szCs w:val="22"/>
                <w:lang w:eastAsia="pl-PL"/>
                <w14:ligatures w14:val="none"/>
              </w:rPr>
              <w:lastRenderedPageBreak/>
              <w:t xml:space="preserve">poprzednim pacjencie. Taka funkcjonalność umożliwia m.in. przeglądanie zleceń kolejnych pacjentów poprzez jedno kliknięcie myszy. </w:t>
            </w:r>
          </w:p>
        </w:tc>
        <w:tc>
          <w:tcPr>
            <w:tcW w:w="944" w:type="pct"/>
          </w:tcPr>
          <w:p w14:paraId="62483608" w14:textId="7BAFB958"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lastRenderedPageBreak/>
              <w:t>Próbka</w:t>
            </w:r>
          </w:p>
        </w:tc>
      </w:tr>
      <w:tr w:rsidR="003F39D9" w:rsidRPr="00A17E7B" w14:paraId="527093A7" w14:textId="074DAB93" w:rsidTr="003F39D9">
        <w:trPr>
          <w:trHeight w:val="300"/>
        </w:trPr>
        <w:tc>
          <w:tcPr>
            <w:tcW w:w="306" w:type="pct"/>
          </w:tcPr>
          <w:p w14:paraId="7D9B7BED"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3E06432" w14:textId="573DEC3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wspiera definiowanie </w:t>
            </w:r>
            <w:proofErr w:type="spellStart"/>
            <w:r w:rsidRPr="00A17E7B">
              <w:rPr>
                <w:rFonts w:ascii="Calibri" w:eastAsia="Times New Roman" w:hAnsi="Calibri" w:cs="Calibri"/>
                <w:color w:val="000001"/>
                <w:kern w:val="0"/>
                <w:sz w:val="22"/>
                <w:szCs w:val="22"/>
                <w:lang w:eastAsia="pl-PL"/>
                <w14:ligatures w14:val="none"/>
              </w:rPr>
              <w:t>multidyscyplinarnych</w:t>
            </w:r>
            <w:proofErr w:type="spellEnd"/>
            <w:r w:rsidRPr="00A17E7B">
              <w:rPr>
                <w:rFonts w:ascii="Calibri" w:eastAsia="Times New Roman" w:hAnsi="Calibri" w:cs="Calibri"/>
                <w:color w:val="000001"/>
                <w:kern w:val="0"/>
                <w:sz w:val="22"/>
                <w:szCs w:val="22"/>
                <w:lang w:eastAsia="pl-PL"/>
                <w14:ligatures w14:val="none"/>
              </w:rPr>
              <w:t xml:space="preserve"> zespołów opieki. Zespoły te są przydzielane do konkretnych pacjentów i mają pełny dostęp do ich danych, niezależnie od oddziału (nadpisanie uprawnień).</w:t>
            </w:r>
          </w:p>
        </w:tc>
        <w:tc>
          <w:tcPr>
            <w:tcW w:w="944" w:type="pct"/>
          </w:tcPr>
          <w:p w14:paraId="49BBD1A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9A2E832" w14:textId="45662CA3" w:rsidTr="003F39D9">
        <w:trPr>
          <w:trHeight w:val="300"/>
        </w:trPr>
        <w:tc>
          <w:tcPr>
            <w:tcW w:w="306" w:type="pct"/>
          </w:tcPr>
          <w:p w14:paraId="5B9AB515"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3DD3E11" w14:textId="50EE28A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Zadania można planować pod kątem czasu trwania i ilości opiekunów (planowanie nakładu pracy dla zadań).</w:t>
            </w:r>
          </w:p>
        </w:tc>
        <w:tc>
          <w:tcPr>
            <w:tcW w:w="944" w:type="pct"/>
          </w:tcPr>
          <w:p w14:paraId="7BCB3B8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1F3B797" w14:textId="3EB8CEB1" w:rsidTr="003F39D9">
        <w:trPr>
          <w:trHeight w:val="600"/>
        </w:trPr>
        <w:tc>
          <w:tcPr>
            <w:tcW w:w="306" w:type="pct"/>
          </w:tcPr>
          <w:p w14:paraId="01515135"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9B28DB9" w14:textId="5921D0B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tworzenia planów opieki, opartych na ocenie i rozpoznaniu, którym można przypisać zestaw działań, które należy wdrożyć w celu poprawienia stanu zdrowia pacjenta. W oparciu o plany opieki realizowana jest ocena reakcji pacjenta. Plany opieki są na bieżąco aktualizowane, jeśli zachodzi taka potrzeba (uzasadnienie kliniczne, decyzja personelu medycznego).</w:t>
            </w:r>
          </w:p>
        </w:tc>
        <w:tc>
          <w:tcPr>
            <w:tcW w:w="944" w:type="pct"/>
          </w:tcPr>
          <w:p w14:paraId="52DE2BF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BC1B239" w14:textId="3048E657" w:rsidTr="003F39D9">
        <w:trPr>
          <w:trHeight w:val="2100"/>
        </w:trPr>
        <w:tc>
          <w:tcPr>
            <w:tcW w:w="306" w:type="pct"/>
          </w:tcPr>
          <w:p w14:paraId="00CBB9F3"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DD6FD57" w14:textId="27A5055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Funkcja wyświetlania wyników badań obrazowych (hiperłącze do systemu PACS szpitala / podgląd badań obrazowych z systemu PACS) obejmująca: </w:t>
            </w:r>
            <w:r w:rsidRPr="00A17E7B">
              <w:rPr>
                <w:rFonts w:ascii="Calibri" w:eastAsia="Times New Roman" w:hAnsi="Calibri" w:cs="Calibri"/>
                <w:color w:val="000001"/>
                <w:kern w:val="0"/>
                <w:sz w:val="22"/>
                <w:szCs w:val="22"/>
                <w:lang w:eastAsia="pl-PL"/>
                <w14:ligatures w14:val="none"/>
              </w:rPr>
              <w:br/>
              <w:t>- ogólny formularz dotyczący wyników obrazowych</w:t>
            </w:r>
            <w:r w:rsidRPr="00A17E7B">
              <w:rPr>
                <w:rFonts w:ascii="Calibri" w:eastAsia="Times New Roman" w:hAnsi="Calibri" w:cs="Calibri"/>
                <w:color w:val="000001"/>
                <w:kern w:val="0"/>
                <w:sz w:val="22"/>
                <w:szCs w:val="22"/>
                <w:lang w:eastAsia="pl-PL"/>
                <w14:ligatures w14:val="none"/>
              </w:rPr>
              <w:br/>
              <w:t>- formularz dedykowany dla badania echokardiogramu</w:t>
            </w:r>
            <w:r w:rsidRPr="00A17E7B">
              <w:rPr>
                <w:rFonts w:ascii="Calibri" w:eastAsia="Times New Roman" w:hAnsi="Calibri" w:cs="Calibri"/>
                <w:color w:val="000001"/>
                <w:kern w:val="0"/>
                <w:sz w:val="22"/>
                <w:szCs w:val="22"/>
                <w:lang w:eastAsia="pl-PL"/>
                <w14:ligatures w14:val="none"/>
              </w:rPr>
              <w:br/>
              <w:t>- formularz dedykowany dla badania bronchoskopii</w:t>
            </w:r>
            <w:r w:rsidRPr="00A17E7B">
              <w:rPr>
                <w:rFonts w:ascii="Calibri" w:eastAsia="Times New Roman" w:hAnsi="Calibri" w:cs="Calibri"/>
                <w:color w:val="000001"/>
                <w:kern w:val="0"/>
                <w:sz w:val="22"/>
                <w:szCs w:val="22"/>
                <w:lang w:eastAsia="pl-PL"/>
                <w14:ligatures w14:val="none"/>
              </w:rPr>
              <w:br/>
              <w:t>- formularz dedykowany dla badania EKG</w:t>
            </w:r>
            <w:r w:rsidRPr="00A17E7B">
              <w:rPr>
                <w:rFonts w:ascii="Calibri" w:eastAsia="Times New Roman" w:hAnsi="Calibri" w:cs="Calibri"/>
                <w:color w:val="000001"/>
                <w:kern w:val="0"/>
                <w:sz w:val="22"/>
                <w:szCs w:val="22"/>
                <w:lang w:eastAsia="pl-PL"/>
                <w14:ligatures w14:val="none"/>
              </w:rPr>
              <w:br/>
              <w:t>- formularz dedykowany dla badania USG</w:t>
            </w:r>
            <w:r w:rsidRPr="00A17E7B">
              <w:rPr>
                <w:rFonts w:ascii="Calibri" w:eastAsia="Times New Roman" w:hAnsi="Calibri" w:cs="Calibri"/>
                <w:color w:val="000001"/>
                <w:kern w:val="0"/>
                <w:sz w:val="22"/>
                <w:szCs w:val="22"/>
                <w:lang w:eastAsia="pl-PL"/>
                <w14:ligatures w14:val="none"/>
              </w:rPr>
              <w:br/>
              <w:t>- formularz dedykowany dla badania RTG</w:t>
            </w:r>
          </w:p>
        </w:tc>
        <w:tc>
          <w:tcPr>
            <w:tcW w:w="944" w:type="pct"/>
          </w:tcPr>
          <w:p w14:paraId="77B9620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3B776A6" w14:textId="1DF1CEBB" w:rsidTr="003F39D9">
        <w:trPr>
          <w:trHeight w:val="600"/>
        </w:trPr>
        <w:tc>
          <w:tcPr>
            <w:tcW w:w="306" w:type="pct"/>
          </w:tcPr>
          <w:p w14:paraId="54EB36F2"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0DEF05A" w14:textId="22A9533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osadzenia przeglądarki internetowej w karcie arkusza danych. Nawigacja do wstępnie zdefiniowanej strony internetowej, która może być oparta na aktualnym kontekście systemu, umożliwiając ciągłą aktualizację istotnych informacji otrzymanych za pośrednictwem strony internetowej, widocznej bezpośrednio w systemie.</w:t>
            </w:r>
          </w:p>
        </w:tc>
        <w:tc>
          <w:tcPr>
            <w:tcW w:w="944" w:type="pct"/>
          </w:tcPr>
          <w:p w14:paraId="609493E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A27A29F" w14:textId="3EFAF90F" w:rsidTr="003F39D9">
        <w:trPr>
          <w:trHeight w:val="300"/>
        </w:trPr>
        <w:tc>
          <w:tcPr>
            <w:tcW w:w="306" w:type="pct"/>
          </w:tcPr>
          <w:p w14:paraId="645EE6D6"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04FA2DB" w14:textId="5EA7BF3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Zlecenia leków prezentowane są w formie listy oraz graficznie na osi czasu.</w:t>
            </w:r>
          </w:p>
        </w:tc>
        <w:tc>
          <w:tcPr>
            <w:tcW w:w="944" w:type="pct"/>
          </w:tcPr>
          <w:p w14:paraId="3D317CC1" w14:textId="1F666DDD"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0BAC931" w14:textId="2E8BDCD1" w:rsidTr="003F39D9">
        <w:trPr>
          <w:trHeight w:val="300"/>
        </w:trPr>
        <w:tc>
          <w:tcPr>
            <w:tcW w:w="306" w:type="pct"/>
          </w:tcPr>
          <w:p w14:paraId="1DEC17B3"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D96795E" w14:textId="27CA7B6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Podaże leków prezentowane są w formie listy oraz graficznie na osi czasu.</w:t>
            </w:r>
          </w:p>
        </w:tc>
        <w:tc>
          <w:tcPr>
            <w:tcW w:w="944" w:type="pct"/>
          </w:tcPr>
          <w:p w14:paraId="46A31C8F" w14:textId="37918BBB"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0D58AB16" w14:textId="7A8B8398" w:rsidTr="003F39D9">
        <w:trPr>
          <w:trHeight w:val="600"/>
        </w:trPr>
        <w:tc>
          <w:tcPr>
            <w:tcW w:w="306" w:type="pct"/>
          </w:tcPr>
          <w:p w14:paraId="4D148860"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8C51F91" w14:textId="0555F13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Zarządzanie statusem/zajętością łóżek na osi czasu wraz z możliwością wstawienia komentarza. Możliwość planowania z wyprzedzeniem.</w:t>
            </w:r>
            <w:r w:rsidRPr="00A17E7B">
              <w:rPr>
                <w:rFonts w:ascii="Calibri" w:eastAsia="Times New Roman" w:hAnsi="Calibri" w:cs="Calibri"/>
                <w:color w:val="000001"/>
                <w:kern w:val="0"/>
                <w:sz w:val="22"/>
                <w:szCs w:val="22"/>
                <w:lang w:eastAsia="pl-PL"/>
                <w14:ligatures w14:val="none"/>
              </w:rPr>
              <w:br/>
              <w:t>Możliwe ustawienie statusu dla każdego łóżka z osobna. Statusy oznaczone są kolorami.</w:t>
            </w:r>
          </w:p>
        </w:tc>
        <w:tc>
          <w:tcPr>
            <w:tcW w:w="944" w:type="pct"/>
          </w:tcPr>
          <w:p w14:paraId="554462C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612EE5A" w14:textId="3B8DDF7B" w:rsidTr="003F39D9">
        <w:trPr>
          <w:trHeight w:val="792"/>
        </w:trPr>
        <w:tc>
          <w:tcPr>
            <w:tcW w:w="306" w:type="pct"/>
          </w:tcPr>
          <w:p w14:paraId="26F435B4"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DA82151" w14:textId="27C0B53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wybrania odpowiedniego statusu, gdy pacjent przebywa poza szpitalem (jest na przepustce). Dokumentacja pacjenta pozostaje otwarta w systemie do momentu ponownego przyjęcia do szpitala, natomiast jest nieaktywna (pacjent w tym czasie nie jest przypisany do żadnego łóżka). Okres czasu, podczas którego pacjent przebywał poza szpitalem musi być oznaczony wizualnie na osi czasu.</w:t>
            </w:r>
          </w:p>
        </w:tc>
        <w:tc>
          <w:tcPr>
            <w:tcW w:w="944" w:type="pct"/>
          </w:tcPr>
          <w:p w14:paraId="4CC3493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C7F7BA5" w14:textId="7ADC095B" w:rsidTr="003F39D9">
        <w:trPr>
          <w:trHeight w:val="1200"/>
        </w:trPr>
        <w:tc>
          <w:tcPr>
            <w:tcW w:w="306" w:type="pct"/>
          </w:tcPr>
          <w:p w14:paraId="4A0957C8"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F4EC8F0" w14:textId="01BCFB8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udokumentowanie zasobów/materiałów, które są wykorzystywane do każdego zabiegu lub zadania związanego z opieką nad pacjentem.</w:t>
            </w:r>
            <w:r w:rsidRPr="00A17E7B">
              <w:rPr>
                <w:rFonts w:ascii="Calibri" w:eastAsia="Times New Roman" w:hAnsi="Calibri" w:cs="Calibri"/>
                <w:color w:val="000001"/>
                <w:kern w:val="0"/>
                <w:sz w:val="22"/>
                <w:szCs w:val="22"/>
                <w:lang w:eastAsia="pl-PL"/>
                <w14:ligatures w14:val="none"/>
              </w:rPr>
              <w:br/>
              <w:t>System obsługuje konfigurację domyślnych informacji o zasobie/materiale dla każdej procedury.</w:t>
            </w:r>
            <w:r w:rsidRPr="00A17E7B">
              <w:rPr>
                <w:rFonts w:ascii="Calibri" w:eastAsia="Times New Roman" w:hAnsi="Calibri" w:cs="Calibri"/>
                <w:color w:val="000001"/>
                <w:kern w:val="0"/>
                <w:sz w:val="22"/>
                <w:szCs w:val="22"/>
                <w:lang w:eastAsia="pl-PL"/>
                <w14:ligatures w14:val="none"/>
              </w:rPr>
              <w:br/>
              <w:t>System umożliwia użytkownikowi końcowemu edytowanie i dostosowywanie informacji domyślnych.</w:t>
            </w:r>
            <w:r w:rsidRPr="00A17E7B">
              <w:rPr>
                <w:rFonts w:ascii="Calibri" w:eastAsia="Times New Roman" w:hAnsi="Calibri" w:cs="Calibri"/>
                <w:color w:val="000001"/>
                <w:kern w:val="0"/>
                <w:sz w:val="22"/>
                <w:szCs w:val="22"/>
                <w:lang w:eastAsia="pl-PL"/>
                <w14:ligatures w14:val="none"/>
              </w:rPr>
              <w:br/>
              <w:t>System obsługuje eksport udokumentowanych zasobów/materiałów do zewnętrznego systemu rozliczeniowego oraz automatyczną aktualizację z katalogu źródłowego.</w:t>
            </w:r>
          </w:p>
        </w:tc>
        <w:tc>
          <w:tcPr>
            <w:tcW w:w="944" w:type="pct"/>
          </w:tcPr>
          <w:p w14:paraId="665FF47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51E389E" w14:textId="0A32AF16" w:rsidTr="003F39D9">
        <w:trPr>
          <w:trHeight w:val="900"/>
        </w:trPr>
        <w:tc>
          <w:tcPr>
            <w:tcW w:w="306" w:type="pct"/>
          </w:tcPr>
          <w:p w14:paraId="46EE6CD8" w14:textId="77777777" w:rsidR="003F39D9" w:rsidRPr="00A17E7B" w:rsidRDefault="003F39D9" w:rsidP="00827561">
            <w:pPr>
              <w:pStyle w:val="Akapitzlist"/>
              <w:numPr>
                <w:ilvl w:val="0"/>
                <w:numId w:val="15"/>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1B76EB0" w14:textId="63797E4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automatyczne obliczenia bilansu płynów, zgodnie z udokumentowaną podażą leków, płynów oraz wydaleniami i utratami. Prezentacja w formie graficznej i tabelarycznej. Możliwość wyboru widoku przebiegu zmian np. z ostatnich 24 godzin lub z okresu znieczulenia (dla bloku operacyjnego).</w:t>
            </w:r>
            <w:r w:rsidRPr="00A17E7B">
              <w:rPr>
                <w:rFonts w:ascii="Calibri" w:eastAsia="Times New Roman" w:hAnsi="Calibri" w:cs="Calibri"/>
                <w:color w:val="000001"/>
                <w:kern w:val="0"/>
                <w:sz w:val="22"/>
                <w:szCs w:val="22"/>
                <w:lang w:eastAsia="pl-PL"/>
                <w14:ligatures w14:val="none"/>
              </w:rPr>
              <w:br/>
              <w:t>System umożliwia użytkownikowi ustawienie celu, a następnie wizualizuje różnicy między danymi rzeczywistymi a celem.</w:t>
            </w:r>
          </w:p>
        </w:tc>
        <w:tc>
          <w:tcPr>
            <w:tcW w:w="944" w:type="pct"/>
          </w:tcPr>
          <w:p w14:paraId="55738C6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22B531B0"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30BBCA38" w14:textId="4CDE01BE" w:rsidTr="003F39D9">
        <w:trPr>
          <w:trHeight w:val="300"/>
        </w:trPr>
        <w:tc>
          <w:tcPr>
            <w:tcW w:w="4056" w:type="pct"/>
            <w:gridSpan w:val="2"/>
          </w:tcPr>
          <w:p w14:paraId="636EE7B4" w14:textId="43D26865"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Widok graficzny i tabelaryczny</w:t>
            </w:r>
          </w:p>
        </w:tc>
        <w:tc>
          <w:tcPr>
            <w:tcW w:w="944" w:type="pct"/>
          </w:tcPr>
          <w:p w14:paraId="7BF5A3F2"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35B5A6B5" w14:textId="199F7786" w:rsidTr="003F39D9">
        <w:trPr>
          <w:trHeight w:val="300"/>
        </w:trPr>
        <w:tc>
          <w:tcPr>
            <w:tcW w:w="306" w:type="pct"/>
          </w:tcPr>
          <w:p w14:paraId="18DE690E"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F499A6A" w14:textId="4A256D4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Widok graficzny musi umożliwiać wyświetlenie jednoczasowo przebiegów co najmniej 10 różnych, wybranych przez użytkownika parametrów.</w:t>
            </w:r>
          </w:p>
        </w:tc>
        <w:tc>
          <w:tcPr>
            <w:tcW w:w="944" w:type="pct"/>
          </w:tcPr>
          <w:p w14:paraId="15B905D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48AF4E9" w14:textId="7622628B" w:rsidTr="003F39D9">
        <w:trPr>
          <w:trHeight w:val="300"/>
        </w:trPr>
        <w:tc>
          <w:tcPr>
            <w:tcW w:w="306" w:type="pct"/>
          </w:tcPr>
          <w:p w14:paraId="3656EBCD"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4C92B33" w14:textId="2771084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wyboru koloru oraz stylu linii i punktów odpowiadających wykresowi danego parametru.</w:t>
            </w:r>
          </w:p>
        </w:tc>
        <w:tc>
          <w:tcPr>
            <w:tcW w:w="944" w:type="pct"/>
          </w:tcPr>
          <w:p w14:paraId="202B735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E57A4B9" w14:textId="3DF4D2C2" w:rsidTr="003F39D9">
        <w:trPr>
          <w:trHeight w:val="300"/>
        </w:trPr>
        <w:tc>
          <w:tcPr>
            <w:tcW w:w="306" w:type="pct"/>
          </w:tcPr>
          <w:p w14:paraId="191D60DB"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1E236A8" w14:textId="3FA0DBC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Widok graficzny posiada funkcję wyświetlania linii odniesienia oraz linii wyznaczających zakres prawidłowych wartości parametru.</w:t>
            </w:r>
          </w:p>
        </w:tc>
        <w:tc>
          <w:tcPr>
            <w:tcW w:w="944" w:type="pct"/>
          </w:tcPr>
          <w:p w14:paraId="7446238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E31CF2E" w14:textId="41CD138F" w:rsidTr="003F39D9">
        <w:trPr>
          <w:trHeight w:val="300"/>
        </w:trPr>
        <w:tc>
          <w:tcPr>
            <w:tcW w:w="306" w:type="pct"/>
          </w:tcPr>
          <w:p w14:paraId="433A87F8"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35710F1" w14:textId="17195E1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Hybrydowy wykres, przedstawiający graficznie 2 wartości parametru, będących ze sobą w relacji, m.in. NIBP.</w:t>
            </w:r>
          </w:p>
        </w:tc>
        <w:tc>
          <w:tcPr>
            <w:tcW w:w="944" w:type="pct"/>
          </w:tcPr>
          <w:p w14:paraId="73742CFD" w14:textId="65AA539B"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2F55F32B" w14:textId="4AEED028" w:rsidTr="003F39D9">
        <w:trPr>
          <w:trHeight w:val="600"/>
        </w:trPr>
        <w:tc>
          <w:tcPr>
            <w:tcW w:w="306" w:type="pct"/>
          </w:tcPr>
          <w:p w14:paraId="204D19EC"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7E60B8D" w14:textId="377F0E1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Hybrydowy wykres, przedstawiający graficznie parametr skorelowany ze wskazaną przez użytkownika wartością bezwzględną (m.in. aktualny odczyt SpO2 z ustawioną wartością 100% lub inną, ustaloną przez użytkownika).</w:t>
            </w:r>
          </w:p>
        </w:tc>
        <w:tc>
          <w:tcPr>
            <w:tcW w:w="944" w:type="pct"/>
          </w:tcPr>
          <w:p w14:paraId="46B47E40" w14:textId="525656DF"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A95A57F" w14:textId="155C306C" w:rsidTr="003F39D9">
        <w:trPr>
          <w:trHeight w:val="300"/>
        </w:trPr>
        <w:tc>
          <w:tcPr>
            <w:tcW w:w="306" w:type="pct"/>
          </w:tcPr>
          <w:p w14:paraId="0E08CC0B"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F5E9563" w14:textId="48E82CB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ręcznego wprowadzania danych w widoku trendów graficznych.</w:t>
            </w:r>
          </w:p>
        </w:tc>
        <w:tc>
          <w:tcPr>
            <w:tcW w:w="944" w:type="pct"/>
          </w:tcPr>
          <w:p w14:paraId="0CBA6A8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5547FD0" w14:textId="6695F8A9" w:rsidTr="003F39D9">
        <w:trPr>
          <w:trHeight w:val="300"/>
        </w:trPr>
        <w:tc>
          <w:tcPr>
            <w:tcW w:w="306" w:type="pct"/>
          </w:tcPr>
          <w:p w14:paraId="46016C4C"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9FACB43" w14:textId="028867C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wyświetlenia na jednym arkuszu min. 10 widoków zawierających trendy graficzne</w:t>
            </w:r>
          </w:p>
        </w:tc>
        <w:tc>
          <w:tcPr>
            <w:tcW w:w="944" w:type="pct"/>
          </w:tcPr>
          <w:p w14:paraId="2271650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540659A" w14:textId="733CA9A2" w:rsidTr="003F39D9">
        <w:trPr>
          <w:trHeight w:val="300"/>
        </w:trPr>
        <w:tc>
          <w:tcPr>
            <w:tcW w:w="306" w:type="pct"/>
          </w:tcPr>
          <w:p w14:paraId="21CBD0DD"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5B82A6C" w14:textId="3FA46BE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Ręczne i automatyczne skalowanie wykresów.</w:t>
            </w:r>
          </w:p>
        </w:tc>
        <w:tc>
          <w:tcPr>
            <w:tcW w:w="944" w:type="pct"/>
          </w:tcPr>
          <w:p w14:paraId="7944969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C47F316" w14:textId="57534BD2" w:rsidTr="003F39D9">
        <w:trPr>
          <w:trHeight w:val="600"/>
        </w:trPr>
        <w:tc>
          <w:tcPr>
            <w:tcW w:w="306" w:type="pct"/>
          </w:tcPr>
          <w:p w14:paraId="7A8ABA93"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2867BCB" w14:textId="2318694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dodania parametru do wykresu przez użytkownika poprzez wybranie go w widoku tabelarycznym w tej samej karcie, przeciągnięcie i upuszczenie (ang. drag and drop). Wykres powraca do pierwotnej postaci po odświeżeniu systemu.</w:t>
            </w:r>
          </w:p>
        </w:tc>
        <w:tc>
          <w:tcPr>
            <w:tcW w:w="944" w:type="pct"/>
          </w:tcPr>
          <w:p w14:paraId="31908D15" w14:textId="554F82A0"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6500ED6" w14:textId="118137A6" w:rsidTr="003F39D9">
        <w:trPr>
          <w:trHeight w:val="600"/>
        </w:trPr>
        <w:tc>
          <w:tcPr>
            <w:tcW w:w="306" w:type="pct"/>
          </w:tcPr>
          <w:p w14:paraId="138FD0C3"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F4572C0" w14:textId="3724A30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ad hoc lub trwałej konfiguracji wyświetlania wykresów, uwzględniające lub pomijające wartości parametrów, w zależności od ich statusów (zatwierdzone / niezatwierdzone przez personel medyczny).</w:t>
            </w:r>
          </w:p>
        </w:tc>
        <w:tc>
          <w:tcPr>
            <w:tcW w:w="944" w:type="pct"/>
          </w:tcPr>
          <w:p w14:paraId="254086B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3AA83C7" w14:textId="377BEE4C" w:rsidTr="003F39D9">
        <w:trPr>
          <w:trHeight w:val="1200"/>
        </w:trPr>
        <w:tc>
          <w:tcPr>
            <w:tcW w:w="306" w:type="pct"/>
          </w:tcPr>
          <w:p w14:paraId="6E7C3710"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855EE7A" w14:textId="0F4894A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zmiany sposobu wyświetlania podglądu parametrów przez użytkownika podczas pracy z systemem:</w:t>
            </w:r>
            <w:r w:rsidRPr="00A17E7B">
              <w:rPr>
                <w:rFonts w:ascii="Calibri" w:eastAsia="Times New Roman" w:hAnsi="Calibri" w:cs="Calibri"/>
                <w:color w:val="000001"/>
                <w:kern w:val="0"/>
                <w:sz w:val="22"/>
                <w:szCs w:val="22"/>
                <w:lang w:eastAsia="pl-PL"/>
                <w14:ligatures w14:val="none"/>
              </w:rPr>
              <w:br/>
              <w:t>- Dodanie dowolnego parametru do wyświetlanej tabeli wartości (np. dodanie parametru mierzonego przez respirator do tabeli funkcji życiowych mierzonych przez kardiomonitor).</w:t>
            </w:r>
            <w:r w:rsidRPr="00A17E7B">
              <w:rPr>
                <w:rFonts w:ascii="Calibri" w:eastAsia="Times New Roman" w:hAnsi="Calibri" w:cs="Calibri"/>
                <w:color w:val="000001"/>
                <w:kern w:val="0"/>
                <w:sz w:val="22"/>
                <w:szCs w:val="22"/>
                <w:lang w:eastAsia="pl-PL"/>
                <w14:ligatures w14:val="none"/>
              </w:rPr>
              <w:br/>
              <w:t>- Dodanie lub usunięcie parametru w wyświetlanym trendzie graficznym, zmiana wielkości wyświetlanego trendu, zmiana kolorów poszczególnych parametrów.</w:t>
            </w:r>
            <w:r w:rsidRPr="00A17E7B">
              <w:rPr>
                <w:rFonts w:ascii="Calibri" w:eastAsia="Times New Roman" w:hAnsi="Calibri" w:cs="Calibri"/>
                <w:color w:val="000001"/>
                <w:kern w:val="0"/>
                <w:sz w:val="22"/>
                <w:szCs w:val="22"/>
                <w:lang w:eastAsia="pl-PL"/>
                <w14:ligatures w14:val="none"/>
              </w:rPr>
              <w:br/>
              <w:t>Wszystkie takie dostosowania, wykonane przez użytkownika w interfejsie muszą mieć charakter tymczasowy – odświeżenie interfejsu lub przelogowanie przywraca stan domyślny.</w:t>
            </w:r>
          </w:p>
        </w:tc>
        <w:tc>
          <w:tcPr>
            <w:tcW w:w="944" w:type="pct"/>
          </w:tcPr>
          <w:p w14:paraId="2871A3B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1E2C7CF" w14:textId="2AA26F9C" w:rsidTr="003F39D9">
        <w:trPr>
          <w:trHeight w:val="2100"/>
        </w:trPr>
        <w:tc>
          <w:tcPr>
            <w:tcW w:w="306" w:type="pct"/>
          </w:tcPr>
          <w:p w14:paraId="365BC33B"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F8E51BE" w14:textId="2E5963F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Widok tabelaryczny musi pozwalać na oznaczenie oraz szybką identyfikację wizualną parametru (np. poprzez zastosowanie innej czcionki, stylu lub koloru tekstu):</w:t>
            </w:r>
            <w:r w:rsidRPr="00A17E7B">
              <w:rPr>
                <w:rFonts w:ascii="Calibri" w:eastAsia="Times New Roman" w:hAnsi="Calibri" w:cs="Calibri"/>
                <w:color w:val="000001"/>
                <w:kern w:val="0"/>
                <w:sz w:val="22"/>
                <w:szCs w:val="22"/>
                <w:lang w:eastAsia="pl-PL"/>
                <w14:ligatures w14:val="none"/>
              </w:rPr>
              <w:br/>
              <w:t>- wyniku pomiaru zatwierdzonego / niezatwierdzonego</w:t>
            </w:r>
            <w:r w:rsidRPr="00A17E7B">
              <w:rPr>
                <w:rFonts w:ascii="Calibri" w:eastAsia="Times New Roman" w:hAnsi="Calibri" w:cs="Calibri"/>
                <w:color w:val="000001"/>
                <w:kern w:val="0"/>
                <w:sz w:val="22"/>
                <w:szCs w:val="22"/>
                <w:lang w:eastAsia="pl-PL"/>
                <w14:ligatures w14:val="none"/>
              </w:rPr>
              <w:br/>
              <w:t>- błędnego wyniku pomiaru</w:t>
            </w:r>
            <w:r w:rsidRPr="00A17E7B">
              <w:rPr>
                <w:rFonts w:ascii="Calibri" w:eastAsia="Times New Roman" w:hAnsi="Calibri" w:cs="Calibri"/>
                <w:color w:val="000001"/>
                <w:kern w:val="0"/>
                <w:sz w:val="22"/>
                <w:szCs w:val="22"/>
                <w:lang w:eastAsia="pl-PL"/>
                <w14:ligatures w14:val="none"/>
              </w:rPr>
              <w:br/>
              <w:t>- ostrzeżenia</w:t>
            </w:r>
            <w:r w:rsidRPr="00A17E7B">
              <w:rPr>
                <w:rFonts w:ascii="Calibri" w:eastAsia="Times New Roman" w:hAnsi="Calibri" w:cs="Calibri"/>
                <w:color w:val="000001"/>
                <w:kern w:val="0"/>
                <w:sz w:val="22"/>
                <w:szCs w:val="22"/>
                <w:lang w:eastAsia="pl-PL"/>
                <w14:ligatures w14:val="none"/>
              </w:rPr>
              <w:br/>
              <w:t>- wartości z komentarzem</w:t>
            </w:r>
            <w:r w:rsidRPr="00A17E7B">
              <w:rPr>
                <w:rFonts w:ascii="Calibri" w:eastAsia="Times New Roman" w:hAnsi="Calibri" w:cs="Calibri"/>
                <w:color w:val="000001"/>
                <w:kern w:val="0"/>
                <w:sz w:val="22"/>
                <w:szCs w:val="22"/>
                <w:lang w:eastAsia="pl-PL"/>
                <w14:ligatures w14:val="none"/>
              </w:rPr>
              <w:br/>
              <w:t xml:space="preserve">- wartość poza zakresem </w:t>
            </w:r>
            <w:r w:rsidRPr="00A17E7B">
              <w:rPr>
                <w:rFonts w:ascii="Calibri" w:eastAsia="Times New Roman" w:hAnsi="Calibri" w:cs="Calibri"/>
                <w:color w:val="000001"/>
                <w:kern w:val="0"/>
                <w:sz w:val="22"/>
                <w:szCs w:val="22"/>
                <w:lang w:eastAsia="pl-PL"/>
                <w14:ligatures w14:val="none"/>
              </w:rPr>
              <w:br/>
              <w:t>Powyższe oznaczenia nie mogą być wprowadzane w formie komentarza.</w:t>
            </w:r>
          </w:p>
        </w:tc>
        <w:tc>
          <w:tcPr>
            <w:tcW w:w="944" w:type="pct"/>
          </w:tcPr>
          <w:p w14:paraId="34A07C2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88E32CD" w14:textId="0BC6CA45" w:rsidTr="003F39D9">
        <w:trPr>
          <w:trHeight w:val="300"/>
        </w:trPr>
        <w:tc>
          <w:tcPr>
            <w:tcW w:w="306" w:type="pct"/>
          </w:tcPr>
          <w:p w14:paraId="15304C5F"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4180540" w14:textId="795D8E7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 widoku tabelarycznym badań laboratoryjnych cechy czcionki informują o tym, że pomiędzy kolumnami (w danym interwale czasowym) znajdują się inne dane.</w:t>
            </w:r>
          </w:p>
        </w:tc>
        <w:tc>
          <w:tcPr>
            <w:tcW w:w="944" w:type="pct"/>
          </w:tcPr>
          <w:p w14:paraId="644A691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65E0A63" w14:textId="15AEA81F" w:rsidTr="003F39D9">
        <w:trPr>
          <w:trHeight w:val="600"/>
        </w:trPr>
        <w:tc>
          <w:tcPr>
            <w:tcW w:w="306" w:type="pct"/>
          </w:tcPr>
          <w:p w14:paraId="72EA75AA"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23FD86A" w14:textId="78EE8ED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dodania parametru do tabeli przez użytkownika poprzez wybranie go na wykresie w tej samej karcie, przeciągnięcie i upuszczenie (ang. drag and drop). Tabela powraca do pierwotnej postaci po odświeżeniu systemu.</w:t>
            </w:r>
          </w:p>
        </w:tc>
        <w:tc>
          <w:tcPr>
            <w:tcW w:w="944" w:type="pct"/>
          </w:tcPr>
          <w:p w14:paraId="68745E0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3D0CFFC" w14:textId="534888FD" w:rsidTr="003F39D9">
        <w:trPr>
          <w:trHeight w:val="300"/>
        </w:trPr>
        <w:tc>
          <w:tcPr>
            <w:tcW w:w="306" w:type="pct"/>
          </w:tcPr>
          <w:p w14:paraId="4B0E8752"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0C1546E" w14:textId="27B0F75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 widoku tabelarycznym możliwość osadzenia w komórce (w slocie czasowym) pliku binarnego (obrazka), umożliwiającego edycję, jako poszerzenie formy dokumentowania opieki nad pacjentem.</w:t>
            </w:r>
          </w:p>
        </w:tc>
        <w:tc>
          <w:tcPr>
            <w:tcW w:w="944" w:type="pct"/>
          </w:tcPr>
          <w:p w14:paraId="20BC2635"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886B827" w14:textId="6D127FFD" w:rsidTr="003F39D9">
        <w:trPr>
          <w:trHeight w:val="300"/>
        </w:trPr>
        <w:tc>
          <w:tcPr>
            <w:tcW w:w="306" w:type="pct"/>
          </w:tcPr>
          <w:p w14:paraId="116BB291"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CC7D017" w14:textId="076A3B2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wyświetlania dymków zawierających podstawowe dane na temat pomiaru (czas wykonania, czas wprowadzenia, wartość) po najechaniu kursorem na komórkę tabeli.</w:t>
            </w:r>
          </w:p>
        </w:tc>
        <w:tc>
          <w:tcPr>
            <w:tcW w:w="944" w:type="pct"/>
          </w:tcPr>
          <w:p w14:paraId="79C50AB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94964BA" w14:textId="1738E76C" w:rsidTr="003F39D9">
        <w:trPr>
          <w:trHeight w:val="300"/>
        </w:trPr>
        <w:tc>
          <w:tcPr>
            <w:tcW w:w="306" w:type="pct"/>
          </w:tcPr>
          <w:p w14:paraId="11293E9C"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3539A0B" w14:textId="6BAE1A0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przeglądania historii zmian wartości, wprowadzanych w danej komórce tabeli wyników, zawierająca: autora zmiany, czas zmiany, wartość, przyczynę zmiany.</w:t>
            </w:r>
          </w:p>
        </w:tc>
        <w:tc>
          <w:tcPr>
            <w:tcW w:w="944" w:type="pct"/>
          </w:tcPr>
          <w:p w14:paraId="7D12E516" w14:textId="66531741"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14118909" w14:textId="58EB6870" w:rsidTr="003F39D9">
        <w:trPr>
          <w:trHeight w:val="600"/>
        </w:trPr>
        <w:tc>
          <w:tcPr>
            <w:tcW w:w="306" w:type="pct"/>
          </w:tcPr>
          <w:p w14:paraId="020DE14E"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FA9E70B" w14:textId="7653A5D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przeglądania historii wartości danego parametru (np. HR, NIBPS) z możliwością: filtrowania w czasie, prezentacją danych w formie tabeli oraz wykresu, wskazaniem wartości średniej, minimalnej i maksymalnej. Tabelę i wykres można przekopiować np. do pliku xls.</w:t>
            </w:r>
          </w:p>
        </w:tc>
        <w:tc>
          <w:tcPr>
            <w:tcW w:w="944" w:type="pct"/>
          </w:tcPr>
          <w:p w14:paraId="5A127CC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FE41ED5" w14:textId="124AEF2A" w:rsidTr="003F39D9">
        <w:trPr>
          <w:trHeight w:val="300"/>
        </w:trPr>
        <w:tc>
          <w:tcPr>
            <w:tcW w:w="306" w:type="pct"/>
          </w:tcPr>
          <w:p w14:paraId="4E158DB8" w14:textId="77777777" w:rsidR="003F39D9" w:rsidRPr="00A17E7B" w:rsidRDefault="003F39D9" w:rsidP="00827561">
            <w:pPr>
              <w:pStyle w:val="Akapitzlist"/>
              <w:numPr>
                <w:ilvl w:val="0"/>
                <w:numId w:val="16"/>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FC2D14B" w14:textId="698929C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automatycznego przeliczenia przez system parametru w celu prezentacji go w innej jednostce niż przesyłana przez urządzenie przyłóżkowe. </w:t>
            </w:r>
          </w:p>
        </w:tc>
        <w:tc>
          <w:tcPr>
            <w:tcW w:w="944" w:type="pct"/>
          </w:tcPr>
          <w:p w14:paraId="5FC5C93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528E545C"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497BAB30" w14:textId="41C439B6" w:rsidTr="003F39D9">
        <w:trPr>
          <w:trHeight w:val="300"/>
        </w:trPr>
        <w:tc>
          <w:tcPr>
            <w:tcW w:w="4056" w:type="pct"/>
            <w:gridSpan w:val="2"/>
          </w:tcPr>
          <w:p w14:paraId="1D7FC37F" w14:textId="2BEA9A12"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Raporty</w:t>
            </w:r>
          </w:p>
        </w:tc>
        <w:tc>
          <w:tcPr>
            <w:tcW w:w="944" w:type="pct"/>
          </w:tcPr>
          <w:p w14:paraId="1FE6DDF3"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01733F49" w14:textId="76DD7D27" w:rsidTr="003F39D9">
        <w:trPr>
          <w:trHeight w:val="2100"/>
        </w:trPr>
        <w:tc>
          <w:tcPr>
            <w:tcW w:w="306" w:type="pct"/>
          </w:tcPr>
          <w:p w14:paraId="473BA097"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863384A" w14:textId="5151B93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Prekonfigurowane różne formaty raportów z możliwością edycji i dopasowania zawartości do potrzeb klienta. Dostępne raporty (minimum):</w:t>
            </w:r>
            <w:r w:rsidRPr="00A17E7B">
              <w:rPr>
                <w:rFonts w:ascii="Calibri" w:eastAsia="Times New Roman" w:hAnsi="Calibri" w:cs="Calibri"/>
                <w:color w:val="000001"/>
                <w:kern w:val="0"/>
                <w:sz w:val="22"/>
                <w:szCs w:val="22"/>
                <w:lang w:eastAsia="pl-PL"/>
                <w14:ligatures w14:val="none"/>
              </w:rPr>
              <w:br/>
              <w:t>- raport z wypisu (lekarski)</w:t>
            </w:r>
            <w:r w:rsidRPr="00A17E7B">
              <w:rPr>
                <w:rFonts w:ascii="Calibri" w:eastAsia="Times New Roman" w:hAnsi="Calibri" w:cs="Calibri"/>
                <w:color w:val="000001"/>
                <w:kern w:val="0"/>
                <w:sz w:val="22"/>
                <w:szCs w:val="22"/>
                <w:lang w:eastAsia="pl-PL"/>
                <w14:ligatures w14:val="none"/>
              </w:rPr>
              <w:br/>
              <w:t>- raport z wypisu (pielęgniarski)</w:t>
            </w:r>
            <w:r w:rsidRPr="00A17E7B">
              <w:rPr>
                <w:rFonts w:ascii="Calibri" w:eastAsia="Times New Roman" w:hAnsi="Calibri" w:cs="Calibri"/>
                <w:color w:val="000001"/>
                <w:kern w:val="0"/>
                <w:sz w:val="22"/>
                <w:szCs w:val="22"/>
                <w:lang w:eastAsia="pl-PL"/>
                <w14:ligatures w14:val="none"/>
              </w:rPr>
              <w:br/>
              <w:t>- raport z opieki pielęgniarskiej</w:t>
            </w:r>
            <w:r w:rsidRPr="00A17E7B">
              <w:rPr>
                <w:rFonts w:ascii="Calibri" w:eastAsia="Times New Roman" w:hAnsi="Calibri" w:cs="Calibri"/>
                <w:color w:val="000001"/>
                <w:kern w:val="0"/>
                <w:sz w:val="22"/>
                <w:szCs w:val="22"/>
                <w:lang w:eastAsia="pl-PL"/>
                <w14:ligatures w14:val="none"/>
              </w:rPr>
              <w:br/>
              <w:t>- raport na temat linii, drenów, wkłuć, ran</w:t>
            </w:r>
            <w:r w:rsidRPr="00A17E7B">
              <w:rPr>
                <w:rFonts w:ascii="Calibri" w:eastAsia="Times New Roman" w:hAnsi="Calibri" w:cs="Calibri"/>
                <w:color w:val="000001"/>
                <w:kern w:val="0"/>
                <w:sz w:val="22"/>
                <w:szCs w:val="22"/>
                <w:lang w:eastAsia="pl-PL"/>
                <w14:ligatures w14:val="none"/>
              </w:rPr>
              <w:br/>
              <w:t>- pełny raport z pobytu pacjenta</w:t>
            </w:r>
            <w:r w:rsidRPr="00A17E7B">
              <w:rPr>
                <w:rFonts w:ascii="Calibri" w:eastAsia="Times New Roman" w:hAnsi="Calibri" w:cs="Calibri"/>
                <w:color w:val="000001"/>
                <w:kern w:val="0"/>
                <w:sz w:val="22"/>
                <w:szCs w:val="22"/>
                <w:lang w:eastAsia="pl-PL"/>
                <w14:ligatures w14:val="none"/>
              </w:rPr>
              <w:br/>
              <w:t>Możliwość ręcznego wyboru okresu obejmowanego przez raport oraz interwału danych zawartych w raporcie.</w:t>
            </w:r>
          </w:p>
        </w:tc>
        <w:tc>
          <w:tcPr>
            <w:tcW w:w="944" w:type="pct"/>
          </w:tcPr>
          <w:p w14:paraId="2A17451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E681CE8" w14:textId="59C364CA" w:rsidTr="003F39D9">
        <w:trPr>
          <w:trHeight w:val="300"/>
        </w:trPr>
        <w:tc>
          <w:tcPr>
            <w:tcW w:w="306" w:type="pct"/>
          </w:tcPr>
          <w:p w14:paraId="0D4B5985"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D4F832D" w14:textId="558C956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pominięcia pozycji, dla których nie zarejestrowano żadnych wartości w celu zredukowania długości raportu.</w:t>
            </w:r>
          </w:p>
        </w:tc>
        <w:tc>
          <w:tcPr>
            <w:tcW w:w="944" w:type="pct"/>
          </w:tcPr>
          <w:p w14:paraId="37FE91D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BE2E874" w14:textId="3C2ECE7C" w:rsidTr="003F39D9">
        <w:trPr>
          <w:trHeight w:val="300"/>
        </w:trPr>
        <w:tc>
          <w:tcPr>
            <w:tcW w:w="306" w:type="pct"/>
          </w:tcPr>
          <w:p w14:paraId="495312AE"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B29C120" w14:textId="1EB60E6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zastrzeżenia, że drukowane są wyłącznie parametry, które zostały zatwierdzone przez użytkownika.</w:t>
            </w:r>
          </w:p>
        </w:tc>
        <w:tc>
          <w:tcPr>
            <w:tcW w:w="944" w:type="pct"/>
          </w:tcPr>
          <w:p w14:paraId="6AB446E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3B38D9E" w14:textId="211126A6" w:rsidTr="003F39D9">
        <w:trPr>
          <w:trHeight w:val="300"/>
        </w:trPr>
        <w:tc>
          <w:tcPr>
            <w:tcW w:w="306" w:type="pct"/>
          </w:tcPr>
          <w:p w14:paraId="14C15570"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AFC7F7D" w14:textId="13007CD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obsługuje tworzenie raportów na podstawie wstępnie skonfigurowanych szablonów, łącząc informacje o pacjencie zebrane z </w:t>
            </w:r>
            <w:r w:rsidRPr="00A17E7B">
              <w:rPr>
                <w:rFonts w:ascii="Calibri" w:eastAsia="Times New Roman" w:hAnsi="Calibri" w:cs="Calibri"/>
                <w:color w:val="000001"/>
                <w:kern w:val="0"/>
                <w:sz w:val="22"/>
                <w:szCs w:val="22"/>
                <w:lang w:eastAsia="pl-PL"/>
                <w14:ligatures w14:val="none"/>
              </w:rPr>
              <w:lastRenderedPageBreak/>
              <w:t>różnych modułów i widoków w ramach dokumentacji pacjenta.</w:t>
            </w:r>
          </w:p>
        </w:tc>
        <w:tc>
          <w:tcPr>
            <w:tcW w:w="944" w:type="pct"/>
          </w:tcPr>
          <w:p w14:paraId="2A04652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A361B57" w14:textId="05A96183" w:rsidTr="003F39D9">
        <w:trPr>
          <w:trHeight w:val="300"/>
        </w:trPr>
        <w:tc>
          <w:tcPr>
            <w:tcW w:w="306" w:type="pct"/>
          </w:tcPr>
          <w:p w14:paraId="4BDCD677"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A4CAA82" w14:textId="57F778A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zapisanie i odczyt uprzednio utworzonych raportów w formacie PDF w zagnieżdżonym oknie systemu i poprzez oddzielną przeglądarkę pdf.</w:t>
            </w:r>
          </w:p>
        </w:tc>
        <w:tc>
          <w:tcPr>
            <w:tcW w:w="944" w:type="pct"/>
          </w:tcPr>
          <w:p w14:paraId="4E0E97F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1B0C9FD" w14:textId="20E97DA2" w:rsidTr="003F39D9">
        <w:trPr>
          <w:trHeight w:val="300"/>
        </w:trPr>
        <w:tc>
          <w:tcPr>
            <w:tcW w:w="306" w:type="pct"/>
          </w:tcPr>
          <w:p w14:paraId="4ACFD7D6"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8C3917A" w14:textId="721C82B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drukowania raportów na papierze, do pliku i do bazy danych.</w:t>
            </w:r>
          </w:p>
        </w:tc>
        <w:tc>
          <w:tcPr>
            <w:tcW w:w="944" w:type="pct"/>
          </w:tcPr>
          <w:p w14:paraId="3885769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634EEAF" w14:textId="73231DF3" w:rsidTr="003F39D9">
        <w:trPr>
          <w:trHeight w:val="300"/>
        </w:trPr>
        <w:tc>
          <w:tcPr>
            <w:tcW w:w="306" w:type="pct"/>
          </w:tcPr>
          <w:p w14:paraId="3CF0D76C"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641D27E" w14:textId="2298047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 przypadku drukowania do pliku, możliwość wyboru nazwy raportu pomiędzy predefiniowanymi (systemowymi) i zdefiniowanymi przez użytkownika.</w:t>
            </w:r>
          </w:p>
        </w:tc>
        <w:tc>
          <w:tcPr>
            <w:tcW w:w="944" w:type="pct"/>
          </w:tcPr>
          <w:p w14:paraId="2540DBB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B934B9B" w14:textId="443A5080" w:rsidTr="003F39D9">
        <w:trPr>
          <w:trHeight w:val="300"/>
        </w:trPr>
        <w:tc>
          <w:tcPr>
            <w:tcW w:w="306" w:type="pct"/>
          </w:tcPr>
          <w:p w14:paraId="54BFFED5"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7B59147" w14:textId="7E8523E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 przypadku drukowania do pliku, możliwość wyboru opcjonalnego szyfrowania pliku wynikowego (raportu pdf).</w:t>
            </w:r>
          </w:p>
        </w:tc>
        <w:tc>
          <w:tcPr>
            <w:tcW w:w="944" w:type="pct"/>
          </w:tcPr>
          <w:p w14:paraId="0C2F27D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4C17FD6" w14:textId="08189883" w:rsidTr="003F39D9">
        <w:trPr>
          <w:trHeight w:val="2100"/>
        </w:trPr>
        <w:tc>
          <w:tcPr>
            <w:tcW w:w="306" w:type="pct"/>
          </w:tcPr>
          <w:p w14:paraId="6C062790"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CC821B2" w14:textId="64A0130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Minimalne ustawienia / funkcje wydruków:</w:t>
            </w:r>
            <w:r w:rsidRPr="00A17E7B">
              <w:rPr>
                <w:rFonts w:ascii="Calibri" w:eastAsia="Times New Roman" w:hAnsi="Calibri" w:cs="Calibri"/>
                <w:color w:val="000001"/>
                <w:kern w:val="0"/>
                <w:sz w:val="22"/>
                <w:szCs w:val="22"/>
                <w:lang w:eastAsia="pl-PL"/>
                <w14:ligatures w14:val="none"/>
              </w:rPr>
              <w:br/>
              <w:t>- zakres czasowy, interwał czasowy, liczba kolumn</w:t>
            </w:r>
            <w:r w:rsidRPr="00A17E7B">
              <w:rPr>
                <w:rFonts w:ascii="Calibri" w:eastAsia="Times New Roman" w:hAnsi="Calibri" w:cs="Calibri"/>
                <w:color w:val="000001"/>
                <w:kern w:val="0"/>
                <w:sz w:val="22"/>
                <w:szCs w:val="22"/>
                <w:lang w:eastAsia="pl-PL"/>
                <w14:ligatures w14:val="none"/>
              </w:rPr>
              <w:br/>
              <w:t>- podgląd wydruku</w:t>
            </w:r>
            <w:r w:rsidRPr="00A17E7B">
              <w:rPr>
                <w:rFonts w:ascii="Calibri" w:eastAsia="Times New Roman" w:hAnsi="Calibri" w:cs="Calibri"/>
                <w:color w:val="000001"/>
                <w:kern w:val="0"/>
                <w:sz w:val="22"/>
                <w:szCs w:val="22"/>
                <w:lang w:eastAsia="pl-PL"/>
                <w14:ligatures w14:val="none"/>
              </w:rPr>
              <w:br/>
              <w:t>- ilość kopii</w:t>
            </w:r>
            <w:r w:rsidRPr="00A17E7B">
              <w:rPr>
                <w:rFonts w:ascii="Calibri" w:eastAsia="Times New Roman" w:hAnsi="Calibri" w:cs="Calibri"/>
                <w:color w:val="000001"/>
                <w:kern w:val="0"/>
                <w:sz w:val="22"/>
                <w:szCs w:val="22"/>
                <w:lang w:eastAsia="pl-PL"/>
                <w14:ligatures w14:val="none"/>
              </w:rPr>
              <w:br/>
              <w:t>- wydruk jedno lub dwustronny</w:t>
            </w:r>
            <w:r w:rsidRPr="00A17E7B">
              <w:rPr>
                <w:rFonts w:ascii="Calibri" w:eastAsia="Times New Roman" w:hAnsi="Calibri" w:cs="Calibri"/>
                <w:color w:val="000001"/>
                <w:kern w:val="0"/>
                <w:sz w:val="22"/>
                <w:szCs w:val="22"/>
                <w:lang w:eastAsia="pl-PL"/>
                <w14:ligatures w14:val="none"/>
              </w:rPr>
              <w:br/>
              <w:t>- marginesy</w:t>
            </w:r>
            <w:r w:rsidRPr="00A17E7B">
              <w:rPr>
                <w:rFonts w:ascii="Calibri" w:eastAsia="Times New Roman" w:hAnsi="Calibri" w:cs="Calibri"/>
                <w:color w:val="000001"/>
                <w:kern w:val="0"/>
                <w:sz w:val="22"/>
                <w:szCs w:val="22"/>
                <w:lang w:eastAsia="pl-PL"/>
                <w14:ligatures w14:val="none"/>
              </w:rPr>
              <w:br/>
              <w:t>- dopasowanie zawartości do 1 strony</w:t>
            </w:r>
          </w:p>
        </w:tc>
        <w:tc>
          <w:tcPr>
            <w:tcW w:w="944" w:type="pct"/>
          </w:tcPr>
          <w:p w14:paraId="329F838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69FC585" w14:textId="2C868746" w:rsidTr="003F39D9">
        <w:trPr>
          <w:trHeight w:val="300"/>
        </w:trPr>
        <w:tc>
          <w:tcPr>
            <w:tcW w:w="306" w:type="pct"/>
          </w:tcPr>
          <w:p w14:paraId="0C39C8DC" w14:textId="77777777" w:rsidR="003F39D9" w:rsidRPr="00A17E7B" w:rsidRDefault="003F39D9" w:rsidP="00827561">
            <w:pPr>
              <w:pStyle w:val="Akapitzlist"/>
              <w:numPr>
                <w:ilvl w:val="0"/>
                <w:numId w:val="17"/>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E51E3DF" w14:textId="4328B87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przypisania domyślnego typu raportu do określonej grupy pacjentów.</w:t>
            </w:r>
          </w:p>
        </w:tc>
        <w:tc>
          <w:tcPr>
            <w:tcW w:w="944" w:type="pct"/>
          </w:tcPr>
          <w:p w14:paraId="4000541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39473A71"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6E954083" w14:textId="67A77B2E" w:rsidTr="003F39D9">
        <w:trPr>
          <w:trHeight w:val="315"/>
        </w:trPr>
        <w:tc>
          <w:tcPr>
            <w:tcW w:w="4056" w:type="pct"/>
            <w:gridSpan w:val="2"/>
          </w:tcPr>
          <w:p w14:paraId="208A2409" w14:textId="2BC89C71"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Notatki i formularze</w:t>
            </w:r>
          </w:p>
        </w:tc>
        <w:tc>
          <w:tcPr>
            <w:tcW w:w="944" w:type="pct"/>
          </w:tcPr>
          <w:p w14:paraId="1F2D78B7"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1038A7A2" w14:textId="2E7CD8A0" w:rsidTr="003F39D9">
        <w:trPr>
          <w:trHeight w:val="300"/>
        </w:trPr>
        <w:tc>
          <w:tcPr>
            <w:tcW w:w="306" w:type="pct"/>
          </w:tcPr>
          <w:p w14:paraId="17867860"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ED8DA39" w14:textId="006400F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Funkcja tworzenia notatek na zasadzie pracy w standardowym edytorze tekstów (np. Microsoft Word) z możliwością formatowania tekstu. Dostępne różne szablony notatek oraz pusty dokument.</w:t>
            </w:r>
          </w:p>
        </w:tc>
        <w:tc>
          <w:tcPr>
            <w:tcW w:w="944" w:type="pct"/>
          </w:tcPr>
          <w:p w14:paraId="068F4B4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E954BBD" w14:textId="42483591" w:rsidTr="003F39D9">
        <w:trPr>
          <w:trHeight w:val="300"/>
        </w:trPr>
        <w:tc>
          <w:tcPr>
            <w:tcW w:w="306" w:type="pct"/>
          </w:tcPr>
          <w:p w14:paraId="40B4EEFC"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883AD1E" w14:textId="1CC4B08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edycji wcześniej utworzonych notatek oraz ustalenia kto oprócz autora notatki jest uprawniony do jej edycji. Przeglądanie listy notatek.</w:t>
            </w:r>
          </w:p>
        </w:tc>
        <w:tc>
          <w:tcPr>
            <w:tcW w:w="944" w:type="pct"/>
          </w:tcPr>
          <w:p w14:paraId="673BD3C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525AB54" w14:textId="7D38DD99" w:rsidTr="003F39D9">
        <w:trPr>
          <w:trHeight w:val="600"/>
        </w:trPr>
        <w:tc>
          <w:tcPr>
            <w:tcW w:w="306" w:type="pct"/>
          </w:tcPr>
          <w:p w14:paraId="734C91BD"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0876474" w14:textId="7841119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Funkcja tworzenia krótkich uwag / komentarzy w formie swobodnego, niesformatowanego tekstu, dodawanie komentarzy i odnotowywanie zadań związanych z karta pacjenta. Uwagi wyświetlane są jako ciągły zapis, opatrzony znacznikiem czasu i nazwą użytkownika, który wprowadził dane. </w:t>
            </w:r>
          </w:p>
        </w:tc>
        <w:tc>
          <w:tcPr>
            <w:tcW w:w="944" w:type="pct"/>
          </w:tcPr>
          <w:p w14:paraId="099A220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91FE94D" w14:textId="791852A9" w:rsidTr="003F39D9">
        <w:trPr>
          <w:trHeight w:val="300"/>
        </w:trPr>
        <w:tc>
          <w:tcPr>
            <w:tcW w:w="306" w:type="pct"/>
          </w:tcPr>
          <w:p w14:paraId="776A6032"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C147D84" w14:textId="1F9D7A5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celów monitorowania - możliwość definicji celów w zakresie monitorowania parametrów życiowych.</w:t>
            </w:r>
          </w:p>
        </w:tc>
        <w:tc>
          <w:tcPr>
            <w:tcW w:w="944" w:type="pct"/>
          </w:tcPr>
          <w:p w14:paraId="352821B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F770022" w14:textId="5FA2614A" w:rsidTr="003F39D9">
        <w:trPr>
          <w:trHeight w:val="300"/>
        </w:trPr>
        <w:tc>
          <w:tcPr>
            <w:tcW w:w="306" w:type="pct"/>
          </w:tcPr>
          <w:p w14:paraId="66B7788D"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845F93A" w14:textId="46F9582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danych pacjenta pozwala na przechowywanie danych administracyjnych pacjenta oraz jego własności (rzeczy pozostawionych w szpitalu/na oddziale).</w:t>
            </w:r>
          </w:p>
        </w:tc>
        <w:tc>
          <w:tcPr>
            <w:tcW w:w="944" w:type="pct"/>
          </w:tcPr>
          <w:p w14:paraId="737B3EB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BDCBD7D" w14:textId="5A226685" w:rsidTr="003F39D9">
        <w:trPr>
          <w:trHeight w:val="300"/>
        </w:trPr>
        <w:tc>
          <w:tcPr>
            <w:tcW w:w="306" w:type="pct"/>
          </w:tcPr>
          <w:p w14:paraId="2881829C"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34CFEED" w14:textId="2798B5C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dane kontaktowe najbliższej rodziny pacjenta.</w:t>
            </w:r>
          </w:p>
        </w:tc>
        <w:tc>
          <w:tcPr>
            <w:tcW w:w="944" w:type="pct"/>
          </w:tcPr>
          <w:p w14:paraId="74C3ED61"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EF48107" w14:textId="1B76A61D" w:rsidTr="003F39D9">
        <w:trPr>
          <w:trHeight w:val="300"/>
        </w:trPr>
        <w:tc>
          <w:tcPr>
            <w:tcW w:w="306" w:type="pct"/>
          </w:tcPr>
          <w:p w14:paraId="3C41A8CB"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E5E33C2" w14:textId="0B7C57D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do udokumentowania danych istotnych w przypadku transportu pacjenta.</w:t>
            </w:r>
          </w:p>
        </w:tc>
        <w:tc>
          <w:tcPr>
            <w:tcW w:w="944" w:type="pct"/>
          </w:tcPr>
          <w:p w14:paraId="31CF746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FB05635" w14:textId="7EB0C93C" w:rsidTr="003F39D9">
        <w:trPr>
          <w:trHeight w:val="300"/>
        </w:trPr>
        <w:tc>
          <w:tcPr>
            <w:tcW w:w="306" w:type="pct"/>
          </w:tcPr>
          <w:p w14:paraId="076EDC81"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506C494" w14:textId="3DF5529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umożliwiający zdefiniowanie zespołu medycznego odpowiedzialnego za opiekę nad danym pacjentem.</w:t>
            </w:r>
          </w:p>
        </w:tc>
        <w:tc>
          <w:tcPr>
            <w:tcW w:w="944" w:type="pct"/>
          </w:tcPr>
          <w:p w14:paraId="5F2509B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E845F80" w14:textId="2AF39D1C" w:rsidTr="003F39D9">
        <w:trPr>
          <w:trHeight w:val="300"/>
        </w:trPr>
        <w:tc>
          <w:tcPr>
            <w:tcW w:w="306" w:type="pct"/>
          </w:tcPr>
          <w:p w14:paraId="082FED1E"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AE7ED38" w14:textId="430DEC5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dedykowany do dokumentowania konsultacji przed znieczuleniem</w:t>
            </w:r>
          </w:p>
        </w:tc>
        <w:tc>
          <w:tcPr>
            <w:tcW w:w="944" w:type="pct"/>
          </w:tcPr>
          <w:p w14:paraId="5EDF01E7"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7B39DA3" w14:textId="2C58E6BE" w:rsidTr="003F39D9">
        <w:trPr>
          <w:trHeight w:val="300"/>
        </w:trPr>
        <w:tc>
          <w:tcPr>
            <w:tcW w:w="306" w:type="pct"/>
          </w:tcPr>
          <w:p w14:paraId="2326739B"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7508963" w14:textId="31A85DE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wypełnienia i wygenerowania formularza zgody na znieczulenie i zgody na zabieg chirurgiczny.</w:t>
            </w:r>
          </w:p>
        </w:tc>
        <w:tc>
          <w:tcPr>
            <w:tcW w:w="944" w:type="pct"/>
          </w:tcPr>
          <w:p w14:paraId="6998C91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E90C707" w14:textId="256818F5" w:rsidTr="003F39D9">
        <w:trPr>
          <w:trHeight w:val="300"/>
        </w:trPr>
        <w:tc>
          <w:tcPr>
            <w:tcW w:w="306" w:type="pct"/>
          </w:tcPr>
          <w:p w14:paraId="181B1690"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0B36E06" w14:textId="152DC63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dedykowany do dokumentowania wyników laboratoryjnych.</w:t>
            </w:r>
          </w:p>
        </w:tc>
        <w:tc>
          <w:tcPr>
            <w:tcW w:w="944" w:type="pct"/>
          </w:tcPr>
          <w:p w14:paraId="2592240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B05CCB8" w14:textId="727DF7A3" w:rsidTr="003F39D9">
        <w:trPr>
          <w:trHeight w:val="600"/>
        </w:trPr>
        <w:tc>
          <w:tcPr>
            <w:tcW w:w="306" w:type="pct"/>
          </w:tcPr>
          <w:p w14:paraId="636ECAC5"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3303249" w14:textId="623D443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Formularz dedykowany do oceny dróg oddechowych i ryzyka intubacji (m.in. asymetrie, </w:t>
            </w:r>
            <w:proofErr w:type="spellStart"/>
            <w:r w:rsidRPr="00A17E7B">
              <w:rPr>
                <w:rFonts w:ascii="Calibri" w:eastAsia="Times New Roman" w:hAnsi="Calibri" w:cs="Calibri"/>
                <w:color w:val="000001"/>
                <w:kern w:val="0"/>
                <w:sz w:val="22"/>
                <w:szCs w:val="22"/>
                <w:lang w:eastAsia="pl-PL"/>
                <w14:ligatures w14:val="none"/>
              </w:rPr>
              <w:t>mikrognacja</w:t>
            </w:r>
            <w:proofErr w:type="spellEnd"/>
            <w:r w:rsidRPr="00A17E7B">
              <w:rPr>
                <w:rFonts w:ascii="Calibri" w:eastAsia="Times New Roman" w:hAnsi="Calibri" w:cs="Calibri"/>
                <w:color w:val="000001"/>
                <w:kern w:val="0"/>
                <w:sz w:val="22"/>
                <w:szCs w:val="22"/>
                <w:lang w:eastAsia="pl-PL"/>
                <w14:ligatures w14:val="none"/>
              </w:rPr>
              <w:t xml:space="preserve">, rozszczep podniebienia, </w:t>
            </w:r>
            <w:proofErr w:type="spellStart"/>
            <w:r w:rsidRPr="00A17E7B">
              <w:rPr>
                <w:rFonts w:ascii="Calibri" w:eastAsia="Times New Roman" w:hAnsi="Calibri" w:cs="Calibri"/>
                <w:color w:val="000001"/>
                <w:kern w:val="0"/>
                <w:sz w:val="22"/>
                <w:szCs w:val="22"/>
                <w:lang w:eastAsia="pl-PL"/>
                <w14:ligatures w14:val="none"/>
              </w:rPr>
              <w:t>glossoptoza</w:t>
            </w:r>
            <w:proofErr w:type="spellEnd"/>
            <w:r w:rsidRPr="00A17E7B">
              <w:rPr>
                <w:rFonts w:ascii="Calibri" w:eastAsia="Times New Roman" w:hAnsi="Calibri" w:cs="Calibri"/>
                <w:color w:val="000001"/>
                <w:kern w:val="0"/>
                <w:sz w:val="22"/>
                <w:szCs w:val="22"/>
                <w:lang w:eastAsia="pl-PL"/>
                <w14:ligatures w14:val="none"/>
              </w:rPr>
              <w:t xml:space="preserve">, luźne zęby, przerost migdałków) oraz samego procesu intubacji (możliwość </w:t>
            </w:r>
            <w:r w:rsidRPr="00A17E7B">
              <w:rPr>
                <w:rFonts w:ascii="Calibri" w:eastAsia="Times New Roman" w:hAnsi="Calibri" w:cs="Calibri"/>
                <w:color w:val="000001"/>
                <w:kern w:val="0"/>
                <w:sz w:val="22"/>
                <w:szCs w:val="22"/>
                <w:lang w:eastAsia="pl-PL"/>
                <w14:ligatures w14:val="none"/>
              </w:rPr>
              <w:lastRenderedPageBreak/>
              <w:t>wprowadzania danych m.in. na temat rozmiaru i typu użytej rurki, typu sprzętu użytego do intubacji, techniki i podejmowanych prób).</w:t>
            </w:r>
          </w:p>
        </w:tc>
        <w:tc>
          <w:tcPr>
            <w:tcW w:w="944" w:type="pct"/>
          </w:tcPr>
          <w:p w14:paraId="65921E2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00C9BF4" w14:textId="319B9469" w:rsidTr="003F39D9">
        <w:trPr>
          <w:trHeight w:val="600"/>
        </w:trPr>
        <w:tc>
          <w:tcPr>
            <w:tcW w:w="306" w:type="pct"/>
          </w:tcPr>
          <w:p w14:paraId="5820D449"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88BA382" w14:textId="2C65CAC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dodania opcjonalnego lub obowiązkowego formularza do dokumentowania transfuzji do okna wprowadzania dawki krwi. Możliwość utworzenia listy pacjentów, którym przetoczono krew (książka transfuzji).</w:t>
            </w:r>
          </w:p>
        </w:tc>
        <w:tc>
          <w:tcPr>
            <w:tcW w:w="944" w:type="pct"/>
          </w:tcPr>
          <w:p w14:paraId="38995C9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B15C40B" w14:textId="6E8285B1" w:rsidTr="003F39D9">
        <w:trPr>
          <w:trHeight w:val="300"/>
        </w:trPr>
        <w:tc>
          <w:tcPr>
            <w:tcW w:w="306" w:type="pct"/>
          </w:tcPr>
          <w:p w14:paraId="183E6BFB"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EC79E6D" w14:textId="7E7CE3D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protokołu insulinowego - szczegóły protokołu insulinowego zgodnie z wynikami glikemii załączonymi do zlecenia.</w:t>
            </w:r>
          </w:p>
        </w:tc>
        <w:tc>
          <w:tcPr>
            <w:tcW w:w="944" w:type="pct"/>
          </w:tcPr>
          <w:p w14:paraId="204FB9E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8CDE223" w14:textId="2D9BD49F" w:rsidTr="003F39D9">
        <w:trPr>
          <w:trHeight w:val="300"/>
        </w:trPr>
        <w:tc>
          <w:tcPr>
            <w:tcW w:w="306" w:type="pct"/>
          </w:tcPr>
          <w:p w14:paraId="6839ED76"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D0EB8A2" w14:textId="2DC135C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Dedykowany formularz do dokumentowania resuscytacji krążeniowo-oddechowej (CPR) wywoływany jednym przyciskiem z poziomu głównego ekranu.</w:t>
            </w:r>
          </w:p>
        </w:tc>
        <w:tc>
          <w:tcPr>
            <w:tcW w:w="944" w:type="pct"/>
          </w:tcPr>
          <w:p w14:paraId="4E389B5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86BFBC1" w14:textId="6CAC7906" w:rsidTr="003F39D9">
        <w:trPr>
          <w:trHeight w:val="300"/>
        </w:trPr>
        <w:tc>
          <w:tcPr>
            <w:tcW w:w="306" w:type="pct"/>
          </w:tcPr>
          <w:p w14:paraId="6AEBE287"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D6936E6" w14:textId="1157A89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wspierający decyzje kliniczne w zakresie doboru odpowiednich leków na potrzeby resuscytacji w zależności od stanu i wagi pacjenta.</w:t>
            </w:r>
          </w:p>
        </w:tc>
        <w:tc>
          <w:tcPr>
            <w:tcW w:w="944" w:type="pct"/>
          </w:tcPr>
          <w:p w14:paraId="2FABD74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B0E5436" w14:textId="6E6DF762" w:rsidTr="003F39D9">
        <w:trPr>
          <w:trHeight w:val="300"/>
        </w:trPr>
        <w:tc>
          <w:tcPr>
            <w:tcW w:w="306" w:type="pct"/>
          </w:tcPr>
          <w:p w14:paraId="16D49EDE"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1A61206" w14:textId="765E32E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dokumentujący stwierdzenie śmierci mózgu wg kryteriów zgodnych z wymaganiami użytkownika.</w:t>
            </w:r>
          </w:p>
        </w:tc>
        <w:tc>
          <w:tcPr>
            <w:tcW w:w="944" w:type="pct"/>
          </w:tcPr>
          <w:p w14:paraId="0BB866D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8D59CEE" w14:textId="3C4DD983" w:rsidTr="003F39D9">
        <w:trPr>
          <w:trHeight w:val="300"/>
        </w:trPr>
        <w:tc>
          <w:tcPr>
            <w:tcW w:w="306" w:type="pct"/>
          </w:tcPr>
          <w:p w14:paraId="174CEABA"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FC161E7" w14:textId="75DF6C5C"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dokumentujący procedurę postępowania ze zmarłym.</w:t>
            </w:r>
          </w:p>
        </w:tc>
        <w:tc>
          <w:tcPr>
            <w:tcW w:w="944" w:type="pct"/>
          </w:tcPr>
          <w:p w14:paraId="119E522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75929F6" w14:textId="01C27AAA" w:rsidTr="003F39D9">
        <w:trPr>
          <w:trHeight w:val="300"/>
        </w:trPr>
        <w:tc>
          <w:tcPr>
            <w:tcW w:w="306" w:type="pct"/>
          </w:tcPr>
          <w:p w14:paraId="2C1698C1"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5F23147" w14:textId="7CD5AB3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dokumentujący procedury związane z przekazaniem narządów do transplantacji wg kryteriów zgodnych z wymaganiami użytkownika.</w:t>
            </w:r>
          </w:p>
        </w:tc>
        <w:tc>
          <w:tcPr>
            <w:tcW w:w="944" w:type="pct"/>
          </w:tcPr>
          <w:p w14:paraId="1CE86CB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FFB67BD" w14:textId="1B9FF26B" w:rsidTr="003F39D9">
        <w:trPr>
          <w:trHeight w:val="300"/>
        </w:trPr>
        <w:tc>
          <w:tcPr>
            <w:tcW w:w="306" w:type="pct"/>
          </w:tcPr>
          <w:p w14:paraId="5BF10098"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2ABB2EA" w14:textId="79EEDF1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Formularz do oceny klinicznej, monitorowania i przeglądu parametrów.</w:t>
            </w:r>
          </w:p>
        </w:tc>
        <w:tc>
          <w:tcPr>
            <w:tcW w:w="944" w:type="pct"/>
          </w:tcPr>
          <w:p w14:paraId="6223AAF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8929E12" w14:textId="0D63ADFD" w:rsidTr="003F39D9">
        <w:trPr>
          <w:trHeight w:val="300"/>
        </w:trPr>
        <w:tc>
          <w:tcPr>
            <w:tcW w:w="306" w:type="pct"/>
          </w:tcPr>
          <w:p w14:paraId="5F8F7D91"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AC7A85C" w14:textId="47B0AAA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Dedykowany formularz umożliwiający odnotowanie informacji, że pacjent jest poza szpitalem, gdy karta pacjenta jest otwarta.</w:t>
            </w:r>
          </w:p>
        </w:tc>
        <w:tc>
          <w:tcPr>
            <w:tcW w:w="944" w:type="pct"/>
          </w:tcPr>
          <w:p w14:paraId="441682F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F01AEB8" w14:textId="2EAB6FE9" w:rsidTr="003F39D9">
        <w:trPr>
          <w:trHeight w:val="300"/>
        </w:trPr>
        <w:tc>
          <w:tcPr>
            <w:tcW w:w="306" w:type="pct"/>
          </w:tcPr>
          <w:p w14:paraId="53F932D9"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BC711C6" w14:textId="1ED106A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definiowania innych, specyficznych formularzy wg wymagań użytkownika.</w:t>
            </w:r>
          </w:p>
        </w:tc>
        <w:tc>
          <w:tcPr>
            <w:tcW w:w="944" w:type="pct"/>
          </w:tcPr>
          <w:p w14:paraId="01F1153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6460474" w14:textId="18C8859A" w:rsidTr="003F39D9">
        <w:trPr>
          <w:trHeight w:val="300"/>
        </w:trPr>
        <w:tc>
          <w:tcPr>
            <w:tcW w:w="306" w:type="pct"/>
          </w:tcPr>
          <w:p w14:paraId="6C7B87EA"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E98C838" w14:textId="1A20842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Możliwość zdefiniowania przez użytkownika o odpowiednich uprawnieniach, obowiązkowych pól formularza, których niewypełnienie uniemożliwia zapisanie formularza.</w:t>
            </w:r>
          </w:p>
        </w:tc>
        <w:tc>
          <w:tcPr>
            <w:tcW w:w="944" w:type="pct"/>
          </w:tcPr>
          <w:p w14:paraId="5FBA208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CD9F679" w14:textId="027E41F2" w:rsidTr="003F39D9">
        <w:trPr>
          <w:trHeight w:val="600"/>
        </w:trPr>
        <w:tc>
          <w:tcPr>
            <w:tcW w:w="306" w:type="pct"/>
          </w:tcPr>
          <w:p w14:paraId="33777ADF"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725B694" w14:textId="5A1A067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W formularzach można </w:t>
            </w:r>
            <w:proofErr w:type="spellStart"/>
            <w:r w:rsidRPr="00A17E7B">
              <w:rPr>
                <w:rFonts w:ascii="Calibri" w:eastAsia="Times New Roman" w:hAnsi="Calibri" w:cs="Calibri"/>
                <w:color w:val="000001"/>
                <w:kern w:val="0"/>
                <w:sz w:val="22"/>
                <w:szCs w:val="22"/>
                <w:lang w:eastAsia="pl-PL"/>
                <w14:ligatures w14:val="none"/>
              </w:rPr>
              <w:t>umieścic</w:t>
            </w:r>
            <w:proofErr w:type="spellEnd"/>
            <w:r w:rsidRPr="00A17E7B">
              <w:rPr>
                <w:rFonts w:ascii="Calibri" w:eastAsia="Times New Roman" w:hAnsi="Calibri" w:cs="Calibri"/>
                <w:color w:val="000001"/>
                <w:kern w:val="0"/>
                <w:sz w:val="22"/>
                <w:szCs w:val="22"/>
                <w:lang w:eastAsia="pl-PL"/>
                <w14:ligatures w14:val="none"/>
              </w:rPr>
              <w:t xml:space="preserve"> pola w różnych formach m.in. dowolny tekst, lista rozwijana, wartość numeryczna, pole </w:t>
            </w:r>
            <w:proofErr w:type="spellStart"/>
            <w:r w:rsidRPr="00A17E7B">
              <w:rPr>
                <w:rFonts w:ascii="Calibri" w:eastAsia="Times New Roman" w:hAnsi="Calibri" w:cs="Calibri"/>
                <w:color w:val="000001"/>
                <w:kern w:val="0"/>
                <w:sz w:val="22"/>
                <w:szCs w:val="22"/>
                <w:lang w:eastAsia="pl-PL"/>
                <w14:ligatures w14:val="none"/>
              </w:rPr>
              <w:t>woboru</w:t>
            </w:r>
            <w:proofErr w:type="spellEnd"/>
            <w:r w:rsidRPr="00A17E7B">
              <w:rPr>
                <w:rFonts w:ascii="Calibri" w:eastAsia="Times New Roman" w:hAnsi="Calibri" w:cs="Calibri"/>
                <w:color w:val="000001"/>
                <w:kern w:val="0"/>
                <w:sz w:val="22"/>
                <w:szCs w:val="22"/>
                <w:lang w:eastAsia="pl-PL"/>
                <w14:ligatures w14:val="none"/>
              </w:rPr>
              <w:t xml:space="preserve"> (</w:t>
            </w:r>
            <w:proofErr w:type="spellStart"/>
            <w:r w:rsidRPr="00A17E7B">
              <w:rPr>
                <w:rFonts w:ascii="Calibri" w:eastAsia="Times New Roman" w:hAnsi="Calibri" w:cs="Calibri"/>
                <w:color w:val="000001"/>
                <w:kern w:val="0"/>
                <w:sz w:val="22"/>
                <w:szCs w:val="22"/>
                <w:lang w:eastAsia="pl-PL"/>
                <w14:ligatures w14:val="none"/>
              </w:rPr>
              <w:t>checkbox</w:t>
            </w:r>
            <w:proofErr w:type="spellEnd"/>
            <w:r w:rsidRPr="00A17E7B">
              <w:rPr>
                <w:rFonts w:ascii="Calibri" w:eastAsia="Times New Roman" w:hAnsi="Calibri" w:cs="Calibri"/>
                <w:color w:val="000001"/>
                <w:kern w:val="0"/>
                <w:sz w:val="22"/>
                <w:szCs w:val="22"/>
                <w:lang w:eastAsia="pl-PL"/>
                <w14:ligatures w14:val="none"/>
              </w:rPr>
              <w:t xml:space="preserve">), grupa przycisków (ratio </w:t>
            </w:r>
            <w:proofErr w:type="spellStart"/>
            <w:r w:rsidRPr="00A17E7B">
              <w:rPr>
                <w:rFonts w:ascii="Calibri" w:eastAsia="Times New Roman" w:hAnsi="Calibri" w:cs="Calibri"/>
                <w:color w:val="000001"/>
                <w:kern w:val="0"/>
                <w:sz w:val="22"/>
                <w:szCs w:val="22"/>
                <w:lang w:eastAsia="pl-PL"/>
                <w14:ligatures w14:val="none"/>
              </w:rPr>
              <w:t>button</w:t>
            </w:r>
            <w:proofErr w:type="spellEnd"/>
            <w:r w:rsidRPr="00A17E7B">
              <w:rPr>
                <w:rFonts w:ascii="Calibri" w:eastAsia="Times New Roman" w:hAnsi="Calibri" w:cs="Calibri"/>
                <w:color w:val="000001"/>
                <w:kern w:val="0"/>
                <w:sz w:val="22"/>
                <w:szCs w:val="22"/>
                <w:lang w:eastAsia="pl-PL"/>
                <w14:ligatures w14:val="none"/>
              </w:rPr>
              <w:t>), data, godzina, data i godzina, obraz,  etykieta, załącznik, parametr słownikowy. Parametry umieszczone w polach mogą wyświetlać wartość domyślną, m.in. ostatnią, aktualną, zadaną wartość.</w:t>
            </w:r>
          </w:p>
        </w:tc>
        <w:tc>
          <w:tcPr>
            <w:tcW w:w="944" w:type="pct"/>
          </w:tcPr>
          <w:p w14:paraId="40B49A2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D825558" w14:textId="6B8AE80B" w:rsidTr="003F39D9">
        <w:trPr>
          <w:trHeight w:val="300"/>
        </w:trPr>
        <w:tc>
          <w:tcPr>
            <w:tcW w:w="306" w:type="pct"/>
          </w:tcPr>
          <w:p w14:paraId="790F87BD"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0D16E53" w14:textId="09B17CD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Pola można konfigurować pod kątem: nazwy, wysokości, długości, wyrównania poziomego i pionowego, oznaczenia jako obowiązkowe.</w:t>
            </w:r>
          </w:p>
        </w:tc>
        <w:tc>
          <w:tcPr>
            <w:tcW w:w="944" w:type="pct"/>
          </w:tcPr>
          <w:p w14:paraId="4AF4D3F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33D3424" w14:textId="2D74D98A" w:rsidTr="003F39D9">
        <w:trPr>
          <w:trHeight w:val="300"/>
        </w:trPr>
        <w:tc>
          <w:tcPr>
            <w:tcW w:w="306" w:type="pct"/>
          </w:tcPr>
          <w:p w14:paraId="59BCC7A6"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C110016" w14:textId="63D767F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Dla zachowania czytelności, dane w formularzach </w:t>
            </w:r>
            <w:proofErr w:type="spellStart"/>
            <w:r w:rsidRPr="00A17E7B">
              <w:rPr>
                <w:rFonts w:ascii="Calibri" w:eastAsia="Times New Roman" w:hAnsi="Calibri" w:cs="Calibri"/>
                <w:color w:val="000001"/>
                <w:kern w:val="0"/>
                <w:sz w:val="22"/>
                <w:szCs w:val="22"/>
                <w:lang w:eastAsia="pl-PL"/>
                <w14:ligatures w14:val="none"/>
              </w:rPr>
              <w:t>orgnizowane</w:t>
            </w:r>
            <w:proofErr w:type="spellEnd"/>
            <w:r w:rsidRPr="00A17E7B">
              <w:rPr>
                <w:rFonts w:ascii="Calibri" w:eastAsia="Times New Roman" w:hAnsi="Calibri" w:cs="Calibri"/>
                <w:color w:val="000001"/>
                <w:kern w:val="0"/>
                <w:sz w:val="22"/>
                <w:szCs w:val="22"/>
                <w:lang w:eastAsia="pl-PL"/>
                <w14:ligatures w14:val="none"/>
              </w:rPr>
              <w:t xml:space="preserve"> są w ramkach i zakładkach.</w:t>
            </w:r>
          </w:p>
        </w:tc>
        <w:tc>
          <w:tcPr>
            <w:tcW w:w="944" w:type="pct"/>
          </w:tcPr>
          <w:p w14:paraId="76CA540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F3F42F9" w14:textId="4B077D85" w:rsidTr="003F39D9">
        <w:trPr>
          <w:trHeight w:val="900"/>
        </w:trPr>
        <w:tc>
          <w:tcPr>
            <w:tcW w:w="306" w:type="pct"/>
          </w:tcPr>
          <w:p w14:paraId="5DA8D812"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E063580" w14:textId="3A43FF6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W razie potrzeby, część pół w formularzu może zostać wyświetlone tylko w przypadku wystąpienia </w:t>
            </w:r>
            <w:proofErr w:type="spellStart"/>
            <w:r w:rsidRPr="00A17E7B">
              <w:rPr>
                <w:rFonts w:ascii="Calibri" w:eastAsia="Times New Roman" w:hAnsi="Calibri" w:cs="Calibri"/>
                <w:color w:val="000001"/>
                <w:kern w:val="0"/>
                <w:sz w:val="22"/>
                <w:szCs w:val="22"/>
                <w:lang w:eastAsia="pl-PL"/>
                <w14:ligatures w14:val="none"/>
              </w:rPr>
              <w:t>konretnych</w:t>
            </w:r>
            <w:proofErr w:type="spellEnd"/>
            <w:r w:rsidRPr="00A17E7B">
              <w:rPr>
                <w:rFonts w:ascii="Calibri" w:eastAsia="Times New Roman" w:hAnsi="Calibri" w:cs="Calibri"/>
                <w:color w:val="000001"/>
                <w:kern w:val="0"/>
                <w:sz w:val="22"/>
                <w:szCs w:val="22"/>
                <w:lang w:eastAsia="pl-PL"/>
                <w14:ligatures w14:val="none"/>
              </w:rPr>
              <w:t xml:space="preserve"> okoliczności. Np. jeśli zostanie zaznaczone pole wyboru potwierdzające, że pacjent jest zaintubowany, to zostaną wyświetlone dodatkowe pola z rodzajem, rozmiarem i głębokością założenia rurki. Dzięki tej funkcjonalności formularz zawiera tylko </w:t>
            </w:r>
            <w:proofErr w:type="spellStart"/>
            <w:r w:rsidRPr="00A17E7B">
              <w:rPr>
                <w:rFonts w:ascii="Calibri" w:eastAsia="Times New Roman" w:hAnsi="Calibri" w:cs="Calibri"/>
                <w:color w:val="000001"/>
                <w:kern w:val="0"/>
                <w:sz w:val="22"/>
                <w:szCs w:val="22"/>
                <w:lang w:eastAsia="pl-PL"/>
                <w14:ligatures w14:val="none"/>
              </w:rPr>
              <w:t>niezbęde</w:t>
            </w:r>
            <w:proofErr w:type="spellEnd"/>
            <w:r w:rsidRPr="00A17E7B">
              <w:rPr>
                <w:rFonts w:ascii="Calibri" w:eastAsia="Times New Roman" w:hAnsi="Calibri" w:cs="Calibri"/>
                <w:color w:val="000001"/>
                <w:kern w:val="0"/>
                <w:sz w:val="22"/>
                <w:szCs w:val="22"/>
                <w:lang w:eastAsia="pl-PL"/>
                <w14:ligatures w14:val="none"/>
              </w:rPr>
              <w:t xml:space="preserve"> dane i eliminuje niepotrzebne nagromadzenie pól.</w:t>
            </w:r>
          </w:p>
        </w:tc>
        <w:tc>
          <w:tcPr>
            <w:tcW w:w="944" w:type="pct"/>
          </w:tcPr>
          <w:p w14:paraId="7967287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532347A" w14:textId="05882C35" w:rsidTr="003F39D9">
        <w:trPr>
          <w:trHeight w:val="300"/>
        </w:trPr>
        <w:tc>
          <w:tcPr>
            <w:tcW w:w="306" w:type="pct"/>
          </w:tcPr>
          <w:p w14:paraId="19111DB6"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8F90B46" w14:textId="31760E58"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Z poziomu formularza można otworzyć m.in. inny formularz, zlecenia, skale, raport.</w:t>
            </w:r>
          </w:p>
        </w:tc>
        <w:tc>
          <w:tcPr>
            <w:tcW w:w="944" w:type="pct"/>
          </w:tcPr>
          <w:p w14:paraId="5414B21D"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479AD5C" w14:textId="3901D99A" w:rsidTr="003F39D9">
        <w:trPr>
          <w:trHeight w:val="300"/>
        </w:trPr>
        <w:tc>
          <w:tcPr>
            <w:tcW w:w="306" w:type="pct"/>
          </w:tcPr>
          <w:p w14:paraId="5F7FC476"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2140111" w14:textId="40AD9D7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Z poziomu </w:t>
            </w:r>
            <w:proofErr w:type="spellStart"/>
            <w:r w:rsidRPr="00A17E7B">
              <w:rPr>
                <w:rFonts w:ascii="Calibri" w:eastAsia="Times New Roman" w:hAnsi="Calibri" w:cs="Calibri"/>
                <w:color w:val="000001"/>
                <w:kern w:val="0"/>
                <w:sz w:val="22"/>
                <w:szCs w:val="22"/>
                <w:lang w:eastAsia="pl-PL"/>
                <w14:ligatures w14:val="none"/>
              </w:rPr>
              <w:t>formualrza</w:t>
            </w:r>
            <w:proofErr w:type="spellEnd"/>
            <w:r w:rsidRPr="00A17E7B">
              <w:rPr>
                <w:rFonts w:ascii="Calibri" w:eastAsia="Times New Roman" w:hAnsi="Calibri" w:cs="Calibri"/>
                <w:color w:val="000001"/>
                <w:kern w:val="0"/>
                <w:sz w:val="22"/>
                <w:szCs w:val="22"/>
                <w:lang w:eastAsia="pl-PL"/>
                <w14:ligatures w14:val="none"/>
              </w:rPr>
              <w:t xml:space="preserve"> można wygenerować raport, zawierające dane w nim zawarte.</w:t>
            </w:r>
          </w:p>
        </w:tc>
        <w:tc>
          <w:tcPr>
            <w:tcW w:w="944" w:type="pct"/>
          </w:tcPr>
          <w:p w14:paraId="1705C55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4E72B9E" w14:textId="5370264B" w:rsidTr="003F39D9">
        <w:trPr>
          <w:trHeight w:val="600"/>
        </w:trPr>
        <w:tc>
          <w:tcPr>
            <w:tcW w:w="306" w:type="pct"/>
          </w:tcPr>
          <w:p w14:paraId="0AE4015E"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AFC8780" w14:textId="43A0CCF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Możliwość nadania wybranym formularzom właściwości cechy niemodalnych, umożliwiających nieliniową, wielozadaniową pracę z wieloma oknami jednocześnie, eliminując wymuszony przez system jeden określony sposób pracy z formularzami. </w:t>
            </w:r>
          </w:p>
        </w:tc>
        <w:tc>
          <w:tcPr>
            <w:tcW w:w="944" w:type="pct"/>
          </w:tcPr>
          <w:p w14:paraId="1079F1F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A90FBC3" w14:textId="3144B86C" w:rsidTr="003F39D9">
        <w:trPr>
          <w:trHeight w:val="600"/>
        </w:trPr>
        <w:tc>
          <w:tcPr>
            <w:tcW w:w="306" w:type="pct"/>
          </w:tcPr>
          <w:p w14:paraId="0C9D4F24" w14:textId="77777777" w:rsidR="003F39D9" w:rsidRPr="00A17E7B" w:rsidRDefault="003F39D9" w:rsidP="00827561">
            <w:pPr>
              <w:pStyle w:val="Akapitzlist"/>
              <w:numPr>
                <w:ilvl w:val="0"/>
                <w:numId w:val="18"/>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3811860" w14:textId="68151A42"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Tak skonfigurowane formularze można zminimalizować, przesuwać po ekranie, uzupełniać dwa formularze jednocześnie (bez konieczności zamykania jednego z nich), nawigować po dokumentacji pacjenta bez konieczności zamykania formularza.</w:t>
            </w:r>
          </w:p>
        </w:tc>
        <w:tc>
          <w:tcPr>
            <w:tcW w:w="944" w:type="pct"/>
          </w:tcPr>
          <w:p w14:paraId="3463CE5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5881FF3D"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7902A508" w14:textId="73EFC7E7" w:rsidTr="003F39D9">
        <w:trPr>
          <w:trHeight w:val="300"/>
        </w:trPr>
        <w:tc>
          <w:tcPr>
            <w:tcW w:w="4056" w:type="pct"/>
            <w:gridSpan w:val="2"/>
          </w:tcPr>
          <w:p w14:paraId="21E8BF61" w14:textId="09F1C08B"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Moduł konfiguracyjny</w:t>
            </w:r>
          </w:p>
        </w:tc>
        <w:tc>
          <w:tcPr>
            <w:tcW w:w="944" w:type="pct"/>
          </w:tcPr>
          <w:p w14:paraId="50D4E320"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1ADE6CDF" w14:textId="121A265C" w:rsidTr="003F39D9">
        <w:trPr>
          <w:trHeight w:val="300"/>
        </w:trPr>
        <w:tc>
          <w:tcPr>
            <w:tcW w:w="306" w:type="pct"/>
          </w:tcPr>
          <w:p w14:paraId="78251790"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58217F8" w14:textId="7A78676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Konfiguracja systemu na poziomie szpitala, oddziału, użytkownika i pacjenta.</w:t>
            </w:r>
          </w:p>
        </w:tc>
        <w:tc>
          <w:tcPr>
            <w:tcW w:w="944" w:type="pct"/>
          </w:tcPr>
          <w:p w14:paraId="103E41D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9005910" w14:textId="3F705AE0" w:rsidTr="000648F6">
        <w:trPr>
          <w:trHeight w:val="978"/>
        </w:trPr>
        <w:tc>
          <w:tcPr>
            <w:tcW w:w="306" w:type="pct"/>
          </w:tcPr>
          <w:p w14:paraId="79802429"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2037084" w14:textId="4205F476"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przeszkolonym użytkownikom konfigurację następujących części, bez konieczności dysponowania wiedzą programistyczną:</w:t>
            </w:r>
            <w:r w:rsidRPr="00A17E7B">
              <w:rPr>
                <w:rFonts w:ascii="Calibri" w:eastAsia="Times New Roman" w:hAnsi="Calibri" w:cs="Calibri"/>
                <w:color w:val="000001"/>
                <w:kern w:val="0"/>
                <w:sz w:val="22"/>
                <w:szCs w:val="22"/>
                <w:lang w:eastAsia="pl-PL"/>
                <w14:ligatures w14:val="none"/>
              </w:rPr>
              <w:br/>
              <w:t>- dodawanie nowych i edycja parametrów, leków, pól formularzy, formularzy i raportów</w:t>
            </w:r>
            <w:r w:rsidRPr="00A17E7B">
              <w:rPr>
                <w:rFonts w:ascii="Calibri" w:eastAsia="Times New Roman" w:hAnsi="Calibri" w:cs="Calibri"/>
                <w:color w:val="000001"/>
                <w:kern w:val="0"/>
                <w:sz w:val="22"/>
                <w:szCs w:val="22"/>
                <w:lang w:eastAsia="pl-PL"/>
                <w14:ligatures w14:val="none"/>
              </w:rPr>
              <w:br/>
              <w:t>- dodawanie nowych i edycja oddziałów i łóżek</w:t>
            </w:r>
            <w:r w:rsidRPr="00A17E7B">
              <w:rPr>
                <w:rFonts w:ascii="Calibri" w:eastAsia="Times New Roman" w:hAnsi="Calibri" w:cs="Calibri"/>
                <w:color w:val="000001"/>
                <w:kern w:val="0"/>
                <w:sz w:val="22"/>
                <w:szCs w:val="22"/>
                <w:lang w:eastAsia="pl-PL"/>
                <w14:ligatures w14:val="none"/>
              </w:rPr>
              <w:br/>
              <w:t>- dodawanie nowych i edycja użytkowników, grup użytkowników, uprawnień użytkowników</w:t>
            </w:r>
            <w:r w:rsidRPr="00A17E7B">
              <w:rPr>
                <w:rFonts w:ascii="Calibri" w:eastAsia="Times New Roman" w:hAnsi="Calibri" w:cs="Calibri"/>
                <w:color w:val="000001"/>
                <w:kern w:val="0"/>
                <w:sz w:val="22"/>
                <w:szCs w:val="22"/>
                <w:lang w:eastAsia="pl-PL"/>
                <w14:ligatures w14:val="none"/>
              </w:rPr>
              <w:br/>
              <w:t>- dodawanie nowych i edycja kart, tabeli, wykresów, trendów, przycisków</w:t>
            </w:r>
            <w:r w:rsidRPr="00A17E7B">
              <w:rPr>
                <w:rFonts w:ascii="Calibri" w:eastAsia="Times New Roman" w:hAnsi="Calibri" w:cs="Calibri"/>
                <w:color w:val="000001"/>
                <w:kern w:val="0"/>
                <w:sz w:val="22"/>
                <w:szCs w:val="22"/>
                <w:lang w:eastAsia="pl-PL"/>
                <w14:ligatures w14:val="none"/>
              </w:rPr>
              <w:br/>
              <w:t>- dodawanie nowych i edycja klawiszy skrótów i pasków narzędzi</w:t>
            </w:r>
            <w:r w:rsidRPr="00A17E7B">
              <w:rPr>
                <w:rFonts w:ascii="Calibri" w:eastAsia="Times New Roman" w:hAnsi="Calibri" w:cs="Calibri"/>
                <w:color w:val="000001"/>
                <w:kern w:val="0"/>
                <w:sz w:val="22"/>
                <w:szCs w:val="22"/>
                <w:lang w:eastAsia="pl-PL"/>
                <w14:ligatures w14:val="none"/>
              </w:rPr>
              <w:br/>
              <w:t>- dodawanie nowych i edycja protokołów kliniczne i planów opieki</w:t>
            </w:r>
            <w:r w:rsidRPr="00A17E7B">
              <w:rPr>
                <w:rFonts w:ascii="Calibri" w:eastAsia="Times New Roman" w:hAnsi="Calibri" w:cs="Calibri"/>
                <w:color w:val="000001"/>
                <w:kern w:val="0"/>
                <w:sz w:val="22"/>
                <w:szCs w:val="22"/>
                <w:lang w:eastAsia="pl-PL"/>
                <w14:ligatures w14:val="none"/>
              </w:rPr>
              <w:br/>
              <w:t>- zarządzanie rozmiarem, kolorem i rozmieszczeniem podstawowych elementów na ekranie</w:t>
            </w:r>
            <w:r w:rsidRPr="00A17E7B">
              <w:rPr>
                <w:rFonts w:ascii="Calibri" w:eastAsia="Times New Roman" w:hAnsi="Calibri" w:cs="Calibri"/>
                <w:color w:val="000001"/>
                <w:kern w:val="0"/>
                <w:sz w:val="22"/>
                <w:szCs w:val="22"/>
                <w:lang w:eastAsia="pl-PL"/>
                <w14:ligatures w14:val="none"/>
              </w:rPr>
              <w:br/>
              <w:t>- dowolne przeglądy i listy pacjentów, wyświetlane na podstawie zadanych kryteriów</w:t>
            </w:r>
            <w:r w:rsidRPr="00A17E7B">
              <w:rPr>
                <w:rFonts w:ascii="Calibri" w:eastAsia="Times New Roman" w:hAnsi="Calibri" w:cs="Calibri"/>
                <w:color w:val="000001"/>
                <w:kern w:val="0"/>
                <w:sz w:val="22"/>
                <w:szCs w:val="22"/>
                <w:lang w:eastAsia="pl-PL"/>
                <w14:ligatures w14:val="none"/>
              </w:rPr>
              <w:br/>
              <w:t>- zmiana i uzupełnienie graficznego interfejsu użytkownika (wygląd aplikacji na stanowisku przy łóżku pacjenta i na oddziale)</w:t>
            </w:r>
          </w:p>
        </w:tc>
        <w:tc>
          <w:tcPr>
            <w:tcW w:w="944" w:type="pct"/>
          </w:tcPr>
          <w:p w14:paraId="545B1CB0" w14:textId="1CAFFE5E"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199AC3A8" w14:textId="4668798F" w:rsidTr="003F39D9">
        <w:trPr>
          <w:trHeight w:val="600"/>
        </w:trPr>
        <w:tc>
          <w:tcPr>
            <w:tcW w:w="306" w:type="pct"/>
          </w:tcPr>
          <w:p w14:paraId="25292074"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D657DDF" w14:textId="43F83C2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Opcje konfiguracji obejmują ustawianie domyślnych i niestandardowych ikon, dostosowywanie kolorów tła, określanie niestandardowych szerokości, włączanie dźwięków przycisków i przypisywanie numerów katalogowych do leków.</w:t>
            </w:r>
          </w:p>
        </w:tc>
        <w:tc>
          <w:tcPr>
            <w:tcW w:w="944" w:type="pct"/>
          </w:tcPr>
          <w:p w14:paraId="310C32D3"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4515D38" w14:textId="3C069441" w:rsidTr="003F39D9">
        <w:trPr>
          <w:trHeight w:val="900"/>
        </w:trPr>
        <w:tc>
          <w:tcPr>
            <w:tcW w:w="306" w:type="pct"/>
          </w:tcPr>
          <w:p w14:paraId="5975B967"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150D03B" w14:textId="35CECC0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szerokie możliwości konfiguracji przycisków, związanych z różnorodnym zestawem działań o zasadniczym znaczeniu dla użytkowników. Szybkie inicjowanie następujących czynności: dokumentowanie zdarzeń klinicznych, zarządzanie zleceniami, automatyczne tworzenie dawek leków i zestawów dawek, otwieranie formularzy, przełączanie pomiędzy oddziałami, dostosowywanie układów, nawigowanie po arkuszu danych, wyświetlanie widoków, dostęp do nowych wyników laboratoryjnych.</w:t>
            </w:r>
          </w:p>
        </w:tc>
        <w:tc>
          <w:tcPr>
            <w:tcW w:w="944" w:type="pct"/>
          </w:tcPr>
          <w:p w14:paraId="63726604" w14:textId="26BE2940"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64A3C420" w14:textId="36C09094" w:rsidTr="003F39D9">
        <w:trPr>
          <w:trHeight w:val="600"/>
        </w:trPr>
        <w:tc>
          <w:tcPr>
            <w:tcW w:w="306" w:type="pct"/>
          </w:tcPr>
          <w:p w14:paraId="5475E450"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0721BDC" w14:textId="1456793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szerokie możliwości konfiguracji formularzy, w tym dodawanie, usuwanie, wyrównywanie w poziomie i pionie pól tekstowych, liczbowych, daty, godziny, pola listy, pola wyboru, grupy przycisków, plików, obrazów, przycisków funkcyjnych.</w:t>
            </w:r>
          </w:p>
        </w:tc>
        <w:tc>
          <w:tcPr>
            <w:tcW w:w="944" w:type="pct"/>
          </w:tcPr>
          <w:p w14:paraId="1477518A" w14:textId="68415291"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3A50D93E" w14:textId="407FD175" w:rsidTr="003F39D9">
        <w:trPr>
          <w:trHeight w:val="900"/>
        </w:trPr>
        <w:tc>
          <w:tcPr>
            <w:tcW w:w="306" w:type="pct"/>
          </w:tcPr>
          <w:p w14:paraId="19EE454E"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9A7ED8B" w14:textId="49C4B20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W konfiguracji formularza możliwe jest dodanie skryptu VBA, który m.in. umożliwia wyświetlanie określonych pól dopiero po spełnieniu wskazanego warunku (np. pola B, C i D pojawią się wyłącznie wtedy, gdy zostanie zaznaczone pole A). Skrypt może również automatycznie przeliczać wartości w wybranych polach na podstawie wcześniej wprowadzonych danych do formularza, wyświetlać dodatkowe informacje lub otwierać kolejny formularz w zależności od wybranej opcji w danym polu (np. po wybraniu opcji 1 w polu A).</w:t>
            </w:r>
          </w:p>
        </w:tc>
        <w:tc>
          <w:tcPr>
            <w:tcW w:w="944" w:type="pct"/>
          </w:tcPr>
          <w:p w14:paraId="0293436F" w14:textId="2D09681B"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1D582902" w14:textId="668EA934" w:rsidTr="003F39D9">
        <w:trPr>
          <w:trHeight w:val="300"/>
        </w:trPr>
        <w:tc>
          <w:tcPr>
            <w:tcW w:w="306" w:type="pct"/>
          </w:tcPr>
          <w:p w14:paraId="563FCD60"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AAB0128" w14:textId="64E592D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konfigurowanie słowników zgodnie z potrzebami użytkownika, m.in. katalog leków (receptariusz), zadania, alergie, diagnozy, procedury i materiały zużywalne.</w:t>
            </w:r>
          </w:p>
        </w:tc>
        <w:tc>
          <w:tcPr>
            <w:tcW w:w="944" w:type="pct"/>
          </w:tcPr>
          <w:p w14:paraId="09FE0C5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8FC5782" w14:textId="722CCF14" w:rsidTr="003F39D9">
        <w:trPr>
          <w:trHeight w:val="1200"/>
        </w:trPr>
        <w:tc>
          <w:tcPr>
            <w:tcW w:w="306" w:type="pct"/>
          </w:tcPr>
          <w:p w14:paraId="43E4A4F9" w14:textId="77777777" w:rsidR="003F39D9" w:rsidRPr="00A17E7B" w:rsidRDefault="003F39D9" w:rsidP="00827561">
            <w:pPr>
              <w:pStyle w:val="Akapitzlist"/>
              <w:numPr>
                <w:ilvl w:val="0"/>
                <w:numId w:val="19"/>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A2A0485" w14:textId="68B6B25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posiada osobny moduł, który umożliwi użytkownikowi utworzenie zapytania/filtru na temat danych znajdujących się w bazie systemu.</w:t>
            </w:r>
            <w:r w:rsidRPr="00A17E7B">
              <w:rPr>
                <w:rFonts w:ascii="Calibri" w:eastAsia="Times New Roman" w:hAnsi="Calibri" w:cs="Calibri"/>
                <w:color w:val="000001"/>
                <w:kern w:val="0"/>
                <w:sz w:val="22"/>
                <w:szCs w:val="22"/>
                <w:lang w:eastAsia="pl-PL"/>
                <w14:ligatures w14:val="none"/>
              </w:rPr>
              <w:br/>
              <w:t>- filtrowanie po wszystkich wartościach i parametrach przechowywanych w systemie (np. połączenie danych demograficznych pacjenta z czasem, zleceniem leku, polem formularza, oddziałem itp.)</w:t>
            </w:r>
            <w:r w:rsidRPr="00A17E7B">
              <w:rPr>
                <w:rFonts w:ascii="Calibri" w:eastAsia="Times New Roman" w:hAnsi="Calibri" w:cs="Calibri"/>
                <w:color w:val="000001"/>
                <w:kern w:val="0"/>
                <w:sz w:val="22"/>
                <w:szCs w:val="22"/>
                <w:lang w:eastAsia="pl-PL"/>
                <w14:ligatures w14:val="none"/>
              </w:rPr>
              <w:br/>
              <w:t>- wynik przedstawiony w formie tabeli, którą można bezpośrednio zapisać w aplikacjach Word, Excel lub Access</w:t>
            </w:r>
            <w:r w:rsidRPr="00A17E7B">
              <w:rPr>
                <w:rFonts w:ascii="Calibri" w:eastAsia="Times New Roman" w:hAnsi="Calibri" w:cs="Calibri"/>
                <w:color w:val="000001"/>
                <w:kern w:val="0"/>
                <w:sz w:val="22"/>
                <w:szCs w:val="22"/>
                <w:lang w:eastAsia="pl-PL"/>
                <w14:ligatures w14:val="none"/>
              </w:rPr>
              <w:br/>
              <w:t>- raport stworzony przez użytkownika musi mieć możliwość zapisania jako szablon, aby użytkownik mógł z niego wielokrotnie korzystać w przyszłości</w:t>
            </w:r>
          </w:p>
        </w:tc>
        <w:tc>
          <w:tcPr>
            <w:tcW w:w="944" w:type="pct"/>
          </w:tcPr>
          <w:p w14:paraId="3C11322B"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bl>
    <w:p w14:paraId="0E29B1DD"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3A2DFAD2" w14:textId="7ABE77DB" w:rsidTr="003F39D9">
        <w:trPr>
          <w:trHeight w:val="315"/>
        </w:trPr>
        <w:tc>
          <w:tcPr>
            <w:tcW w:w="4056" w:type="pct"/>
            <w:gridSpan w:val="2"/>
          </w:tcPr>
          <w:p w14:paraId="2A19C882" w14:textId="38F32B18"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 xml:space="preserve">Interoperacyjność </w:t>
            </w:r>
          </w:p>
        </w:tc>
        <w:tc>
          <w:tcPr>
            <w:tcW w:w="944" w:type="pct"/>
          </w:tcPr>
          <w:p w14:paraId="7808FD66"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30346381" w14:textId="0BEE212D" w:rsidTr="003F39D9">
        <w:trPr>
          <w:trHeight w:val="900"/>
        </w:trPr>
        <w:tc>
          <w:tcPr>
            <w:tcW w:w="306" w:type="pct"/>
          </w:tcPr>
          <w:p w14:paraId="3B5CD0A2"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0FC0ABB" w14:textId="3E53350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łączność z urządzeniami medycznymi (w tym: aparatami do znieczulenia, analizatorami gazów anestezjologicznych, pompami IABP, analizatorami parametrów krytycznych krwi, płuco-sercami, aparatami do dializy, monitorami płynów, nawilżaczami, kardiomonitorami, pompami infuzyjnymi i respiratorami).</w:t>
            </w:r>
            <w:r w:rsidRPr="00A17E7B">
              <w:rPr>
                <w:rFonts w:ascii="Calibri" w:eastAsia="Times New Roman" w:hAnsi="Calibri" w:cs="Calibri"/>
                <w:color w:val="000001"/>
                <w:kern w:val="0"/>
                <w:sz w:val="22"/>
                <w:szCs w:val="22"/>
                <w:lang w:eastAsia="pl-PL"/>
                <w14:ligatures w14:val="none"/>
              </w:rPr>
              <w:br/>
              <w:t>Ponadto umożliwia komunikację z różnymi systemami szpitalnymi, w tym między innymi z laboratoriami i systemami archiwizacji dokumentów.</w:t>
            </w:r>
          </w:p>
        </w:tc>
        <w:tc>
          <w:tcPr>
            <w:tcW w:w="944" w:type="pct"/>
          </w:tcPr>
          <w:p w14:paraId="497B7D36"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1C788382" w14:textId="217F4D7F" w:rsidTr="003F39D9">
        <w:trPr>
          <w:trHeight w:val="600"/>
        </w:trPr>
        <w:tc>
          <w:tcPr>
            <w:tcW w:w="306" w:type="pct"/>
          </w:tcPr>
          <w:p w14:paraId="4BBF28E1"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64DA0ED9" w14:textId="01A4E8D1"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obsługuje gromadzenie danych po podłączeniu sprzętu medycznego do pacjenta, a przechowywanie danych odbywa się automatycznie w odstępach jednominutowych. Dane są wyświetlane zgodnie z rozdzielczością skonfigurowaną przez użytkownika.</w:t>
            </w:r>
          </w:p>
        </w:tc>
        <w:tc>
          <w:tcPr>
            <w:tcW w:w="944" w:type="pct"/>
          </w:tcPr>
          <w:p w14:paraId="2BCCC28D"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51550A45" w14:textId="695064A6" w:rsidTr="003F39D9">
        <w:trPr>
          <w:trHeight w:val="600"/>
        </w:trPr>
        <w:tc>
          <w:tcPr>
            <w:tcW w:w="306" w:type="pct"/>
          </w:tcPr>
          <w:p w14:paraId="54B6A582"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659E28C" w14:textId="7F900FA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Dane z urządzeń medycznych są przesyłane do bazy danych systemu na bieżąco, niezależnie od tego czy aplikacja na stacji roboczej (np. przy stanowisku pacjenta) jest uruchomiona. Jeśli zarejestrowano sygnały dla danego stanowiska, przy rejestracji pacjenta system zapyta, czy przypisać te wcześniej zarejestrowane sygnały do tego pacjenta oraz od której godziny.</w:t>
            </w:r>
          </w:p>
        </w:tc>
        <w:tc>
          <w:tcPr>
            <w:tcW w:w="944" w:type="pct"/>
          </w:tcPr>
          <w:p w14:paraId="4C3234CE" w14:textId="5CEBAF12"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lang w:eastAsia="pl-PL"/>
                <w14:ligatures w14:val="none"/>
              </w:rPr>
              <w:t>Próbka</w:t>
            </w:r>
          </w:p>
        </w:tc>
      </w:tr>
      <w:tr w:rsidR="003F39D9" w:rsidRPr="00A17E7B" w14:paraId="0183562F" w14:textId="3D20B062" w:rsidTr="003F39D9">
        <w:trPr>
          <w:trHeight w:val="300"/>
        </w:trPr>
        <w:tc>
          <w:tcPr>
            <w:tcW w:w="306" w:type="pct"/>
          </w:tcPr>
          <w:p w14:paraId="39A1C078"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4677EB1B" w14:textId="7DF84CA8"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obsługuje manualne kojarzenie urządzeń medycznych z pacjentem zgodnie ze wstępnie skonfigurowaną listą urządzeń medycznych.</w:t>
            </w:r>
          </w:p>
        </w:tc>
        <w:tc>
          <w:tcPr>
            <w:tcW w:w="944" w:type="pct"/>
          </w:tcPr>
          <w:p w14:paraId="2A1B6882"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31CACBA1" w14:textId="788512F2" w:rsidTr="003F39D9">
        <w:trPr>
          <w:trHeight w:val="300"/>
        </w:trPr>
        <w:tc>
          <w:tcPr>
            <w:tcW w:w="306" w:type="pct"/>
          </w:tcPr>
          <w:p w14:paraId="71083384"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68E07B7" w14:textId="0D6183C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automatyczne kojarzenie i przesyłanie danych z urządzeń medycznych do dokumentacji pacjentów, którzy są przenoszeni pomiędzy łóżkami.</w:t>
            </w:r>
          </w:p>
        </w:tc>
        <w:tc>
          <w:tcPr>
            <w:tcW w:w="944" w:type="pct"/>
          </w:tcPr>
          <w:p w14:paraId="2434D84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59C3CB7" w14:textId="1A5B150F" w:rsidTr="003F39D9">
        <w:trPr>
          <w:trHeight w:val="300"/>
        </w:trPr>
        <w:tc>
          <w:tcPr>
            <w:tcW w:w="306" w:type="pct"/>
          </w:tcPr>
          <w:p w14:paraId="29F6EEFE"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BF29DCA" w14:textId="62AD35D4"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komunikację z urządzeniami z wyjściem szeregowym (RS-232) i wyjściem TCP\IP.</w:t>
            </w:r>
          </w:p>
        </w:tc>
        <w:tc>
          <w:tcPr>
            <w:tcW w:w="944" w:type="pct"/>
          </w:tcPr>
          <w:p w14:paraId="3343A96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6E4C7A9" w14:textId="45C7B7A7" w:rsidTr="003F39D9">
        <w:trPr>
          <w:trHeight w:val="300"/>
        </w:trPr>
        <w:tc>
          <w:tcPr>
            <w:tcW w:w="306" w:type="pct"/>
          </w:tcPr>
          <w:p w14:paraId="5AE38CBC"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45D2110C" w14:textId="013B4C1C"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umożliwia rejestrowanie pacjentów poprzez wczytanie danych pacjenta z systemu HIS lub ręczne wprowadzenie danych, w zależności od preferencji.</w:t>
            </w:r>
          </w:p>
        </w:tc>
        <w:tc>
          <w:tcPr>
            <w:tcW w:w="944" w:type="pct"/>
          </w:tcPr>
          <w:p w14:paraId="19DD6194"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0B1C53C2" w14:textId="5CF5316C" w:rsidTr="003F39D9">
        <w:trPr>
          <w:trHeight w:val="300"/>
        </w:trPr>
        <w:tc>
          <w:tcPr>
            <w:tcW w:w="306" w:type="pct"/>
          </w:tcPr>
          <w:p w14:paraId="62BC297D"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31CC711E" w14:textId="7B2E67DB"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 umożliwia dokumentowania przenoszenia pacjentów między </w:t>
            </w:r>
            <w:r>
              <w:rPr>
                <w:rFonts w:ascii="Calibri" w:eastAsia="Times New Roman" w:hAnsi="Calibri" w:cs="Calibri"/>
                <w:kern w:val="0"/>
                <w:sz w:val="22"/>
                <w:szCs w:val="22"/>
                <w:lang w:eastAsia="pl-PL"/>
                <w14:ligatures w14:val="none"/>
              </w:rPr>
              <w:t>salami</w:t>
            </w:r>
            <w:r w:rsidRPr="00A17E7B">
              <w:rPr>
                <w:rFonts w:ascii="Calibri" w:eastAsia="Times New Roman" w:hAnsi="Calibri" w:cs="Calibri"/>
                <w:kern w:val="0"/>
                <w:sz w:val="22"/>
                <w:szCs w:val="22"/>
                <w:lang w:eastAsia="pl-PL"/>
                <w14:ligatures w14:val="none"/>
              </w:rPr>
              <w:t xml:space="preserve"> oraz ustawianie statusu pacjenta.</w:t>
            </w:r>
          </w:p>
        </w:tc>
        <w:tc>
          <w:tcPr>
            <w:tcW w:w="944" w:type="pct"/>
          </w:tcPr>
          <w:p w14:paraId="4575E116"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36C88071" w14:textId="7B344FC6" w:rsidTr="003F39D9">
        <w:trPr>
          <w:trHeight w:val="300"/>
        </w:trPr>
        <w:tc>
          <w:tcPr>
            <w:tcW w:w="306" w:type="pct"/>
          </w:tcPr>
          <w:p w14:paraId="26BF5FC6"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C72AFA0" w14:textId="2DBF80D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import danych laboratoryjnych i metadanych z systemów laboratoryjnych za pomocą interfejsu HL7 (ORU R01).</w:t>
            </w:r>
          </w:p>
        </w:tc>
        <w:tc>
          <w:tcPr>
            <w:tcW w:w="944" w:type="pct"/>
          </w:tcPr>
          <w:p w14:paraId="20E5647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7FF62A1" w14:textId="1B4B83FE" w:rsidTr="003F39D9">
        <w:trPr>
          <w:trHeight w:val="300"/>
        </w:trPr>
        <w:tc>
          <w:tcPr>
            <w:tcW w:w="306" w:type="pct"/>
          </w:tcPr>
          <w:p w14:paraId="5E550F88"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4F4376E" w14:textId="16C9FF5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wyświetla otrzymane dane laboratoryjne, w tym identyfikator laboratorium, status, wartość, czas obserwacji, komentarze, wartości dolnego i górnego zakresu.</w:t>
            </w:r>
          </w:p>
        </w:tc>
        <w:tc>
          <w:tcPr>
            <w:tcW w:w="944" w:type="pct"/>
          </w:tcPr>
          <w:p w14:paraId="3B13768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B5BC8CF" w14:textId="74B7B970" w:rsidTr="003F39D9">
        <w:trPr>
          <w:trHeight w:val="300"/>
        </w:trPr>
        <w:tc>
          <w:tcPr>
            <w:tcW w:w="306" w:type="pct"/>
          </w:tcPr>
          <w:p w14:paraId="75C8D5E5"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B77BB5D" w14:textId="0041C25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powiadamia użytkownika o nadejściu nowych wyników laboratoryjnych.</w:t>
            </w:r>
          </w:p>
        </w:tc>
        <w:tc>
          <w:tcPr>
            <w:tcW w:w="944" w:type="pct"/>
          </w:tcPr>
          <w:p w14:paraId="4752030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22EFFAE2" w14:textId="304C3C94" w:rsidTr="003F39D9">
        <w:trPr>
          <w:trHeight w:val="300"/>
        </w:trPr>
        <w:tc>
          <w:tcPr>
            <w:tcW w:w="306" w:type="pct"/>
          </w:tcPr>
          <w:p w14:paraId="2D67DFA2"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B3387DD" w14:textId="34C2BA0A"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użytkownikowi akceptację (przeglądanie i potwierdzanie) nowo otrzymanych wyników badań laboratoryjnych.</w:t>
            </w:r>
          </w:p>
        </w:tc>
        <w:tc>
          <w:tcPr>
            <w:tcW w:w="944" w:type="pct"/>
          </w:tcPr>
          <w:p w14:paraId="77BCC35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9342108" w14:textId="1F9EEF0C" w:rsidTr="003F39D9">
        <w:trPr>
          <w:trHeight w:val="600"/>
        </w:trPr>
        <w:tc>
          <w:tcPr>
            <w:tcW w:w="306" w:type="pct"/>
          </w:tcPr>
          <w:p w14:paraId="32166927"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6B788285" w14:textId="04FB2711"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posiada</w:t>
            </w:r>
            <w:r w:rsidRPr="00A17E7B">
              <w:rPr>
                <w:rFonts w:ascii="Calibri" w:eastAsia="Times New Roman" w:hAnsi="Calibri" w:cs="Calibri"/>
                <w:color w:val="000001"/>
                <w:kern w:val="0"/>
                <w:sz w:val="22"/>
                <w:szCs w:val="22"/>
                <w:lang w:eastAsia="pl-PL"/>
                <w14:ligatures w14:val="none"/>
              </w:rPr>
              <w:t xml:space="preserve"> interfejs eksportu PDF do eksportowania nieustrukturyzowanych danych jako raportów PDF z systemu, w formacie PDF lub PDF/A, do dowolnego kompatybilnego systemu innej firmy za pomocą komunikatu HL7 MDM, przy użyciu protokołu TCP/IP lub pliku umieszczonego w predefiniowanej lokalizacji.</w:t>
            </w:r>
          </w:p>
        </w:tc>
        <w:tc>
          <w:tcPr>
            <w:tcW w:w="944" w:type="pct"/>
          </w:tcPr>
          <w:p w14:paraId="2F455E60"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526F111A" w14:textId="13425980" w:rsidTr="003F39D9">
        <w:trPr>
          <w:trHeight w:val="300"/>
        </w:trPr>
        <w:tc>
          <w:tcPr>
            <w:tcW w:w="306" w:type="pct"/>
          </w:tcPr>
          <w:p w14:paraId="6E444F2E" w14:textId="77777777" w:rsidR="003F39D9" w:rsidRPr="00A17E7B" w:rsidRDefault="003F39D9" w:rsidP="00827561">
            <w:pPr>
              <w:pStyle w:val="Akapitzlist"/>
              <w:numPr>
                <w:ilvl w:val="0"/>
                <w:numId w:val="20"/>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FE3D4FF" w14:textId="20CCDCEE"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uruchamia eksport raportu w formacie PDF ręcznie, okresowo wg harmonogramu (np. codziennie) i po ustawieniu określonego statusu pacjenta.</w:t>
            </w:r>
          </w:p>
        </w:tc>
        <w:tc>
          <w:tcPr>
            <w:tcW w:w="944" w:type="pct"/>
          </w:tcPr>
          <w:p w14:paraId="7370480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7CF1595" w14:textId="35894902" w:rsidTr="003F39D9">
        <w:trPr>
          <w:trHeight w:val="300"/>
        </w:trPr>
        <w:tc>
          <w:tcPr>
            <w:tcW w:w="306" w:type="pct"/>
          </w:tcPr>
          <w:p w14:paraId="5559BEA8"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09F003D1" w14:textId="4245338C"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 obsługuje przesyłanie plików PDF osadzonych w wiadomości HL7 (w formacie Base 64) i w formie ścieżki do pliku PDF. </w:t>
            </w:r>
          </w:p>
        </w:tc>
        <w:tc>
          <w:tcPr>
            <w:tcW w:w="944" w:type="pct"/>
          </w:tcPr>
          <w:p w14:paraId="6EC29862"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303B40B2" w14:textId="3A5CCC75" w:rsidTr="003F39D9">
        <w:trPr>
          <w:trHeight w:val="600"/>
        </w:trPr>
        <w:tc>
          <w:tcPr>
            <w:tcW w:w="306" w:type="pct"/>
          </w:tcPr>
          <w:p w14:paraId="25CF1F78"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3E7BD8DC" w14:textId="6EF41B7B"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Możliwość eksportu danych pacjentów w formacie XLS, obejmujące szeroki zakres rodzajów danych, w tym dane demograficzne, dane pochodzące z urządzeń medycznych, dane wprowadzone manualnie przez użytkowników.</w:t>
            </w:r>
          </w:p>
        </w:tc>
        <w:tc>
          <w:tcPr>
            <w:tcW w:w="944" w:type="pct"/>
          </w:tcPr>
          <w:p w14:paraId="151C6ADD"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320B6136" w14:textId="7E3C6943" w:rsidTr="003F39D9">
        <w:trPr>
          <w:trHeight w:val="1800"/>
        </w:trPr>
        <w:tc>
          <w:tcPr>
            <w:tcW w:w="306" w:type="pct"/>
          </w:tcPr>
          <w:p w14:paraId="3DF0AB5E"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6C2DBF28" w14:textId="7F339E3D"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wspiera następujące protokoły i technologie:</w:t>
            </w:r>
            <w:r w:rsidRPr="00A17E7B">
              <w:rPr>
                <w:rFonts w:ascii="Calibri" w:eastAsia="Times New Roman" w:hAnsi="Calibri" w:cs="Calibri"/>
                <w:kern w:val="0"/>
                <w:sz w:val="22"/>
                <w:szCs w:val="22"/>
                <w:lang w:eastAsia="pl-PL"/>
                <w14:ligatures w14:val="none"/>
              </w:rPr>
              <w:br/>
              <w:t>- HL7</w:t>
            </w:r>
            <w:r w:rsidRPr="00A17E7B">
              <w:rPr>
                <w:rFonts w:ascii="Calibri" w:eastAsia="Times New Roman" w:hAnsi="Calibri" w:cs="Calibri"/>
                <w:kern w:val="0"/>
                <w:sz w:val="22"/>
                <w:szCs w:val="22"/>
                <w:lang w:eastAsia="pl-PL"/>
                <w14:ligatures w14:val="none"/>
              </w:rPr>
              <w:br/>
              <w:t>- FHIR</w:t>
            </w:r>
            <w:r w:rsidRPr="00A17E7B">
              <w:rPr>
                <w:rFonts w:ascii="Calibri" w:eastAsia="Times New Roman" w:hAnsi="Calibri" w:cs="Calibri"/>
                <w:kern w:val="0"/>
                <w:sz w:val="22"/>
                <w:szCs w:val="22"/>
                <w:lang w:eastAsia="pl-PL"/>
                <w14:ligatures w14:val="none"/>
              </w:rPr>
              <w:br/>
              <w:t>- XML</w:t>
            </w:r>
            <w:r w:rsidRPr="00A17E7B">
              <w:rPr>
                <w:rFonts w:ascii="Calibri" w:eastAsia="Times New Roman" w:hAnsi="Calibri" w:cs="Calibri"/>
                <w:kern w:val="0"/>
                <w:sz w:val="22"/>
                <w:szCs w:val="22"/>
                <w:lang w:eastAsia="pl-PL"/>
                <w14:ligatures w14:val="none"/>
              </w:rPr>
              <w:br/>
              <w:t>- PDF</w:t>
            </w:r>
          </w:p>
        </w:tc>
        <w:tc>
          <w:tcPr>
            <w:tcW w:w="944" w:type="pct"/>
          </w:tcPr>
          <w:p w14:paraId="6E9F2C65"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1B433040" w14:textId="6B76FEAC" w:rsidTr="003F39D9">
        <w:trPr>
          <w:trHeight w:val="600"/>
        </w:trPr>
        <w:tc>
          <w:tcPr>
            <w:tcW w:w="306" w:type="pct"/>
          </w:tcPr>
          <w:p w14:paraId="5682EA69"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799D1BDF" w14:textId="54EB009A"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musi być zgodny ze słownikami ICD-9 i ICD-10 oraz musi wykorzystywać nazewnictwo zgodne z katalogiem SNOMED CT i w razie potrzeby pozwalać na dostosowanie terminologii do specyficznych potrzeb klienta.</w:t>
            </w:r>
          </w:p>
        </w:tc>
        <w:tc>
          <w:tcPr>
            <w:tcW w:w="944" w:type="pct"/>
          </w:tcPr>
          <w:p w14:paraId="4F15008C"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0E1172AD" w14:textId="608BA414" w:rsidTr="003F39D9">
        <w:trPr>
          <w:trHeight w:val="300"/>
        </w:trPr>
        <w:tc>
          <w:tcPr>
            <w:tcW w:w="306" w:type="pct"/>
          </w:tcPr>
          <w:p w14:paraId="3A3E7331" w14:textId="77777777" w:rsidR="003F39D9" w:rsidRPr="00A17E7B" w:rsidRDefault="003F39D9" w:rsidP="00827561">
            <w:pPr>
              <w:pStyle w:val="Akapitzlist"/>
              <w:numPr>
                <w:ilvl w:val="0"/>
                <w:numId w:val="20"/>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19347FA4" w14:textId="1719FF4A"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może wygenerować listę wprowadzonych zabiegów pacjenta</w:t>
            </w:r>
            <w:r>
              <w:rPr>
                <w:rFonts w:ascii="Calibri" w:eastAsia="Times New Roman" w:hAnsi="Calibri" w:cs="Calibri"/>
                <w:kern w:val="0"/>
                <w:sz w:val="22"/>
                <w:szCs w:val="22"/>
                <w:lang w:eastAsia="pl-PL"/>
                <w14:ligatures w14:val="none"/>
              </w:rPr>
              <w:t>.</w:t>
            </w:r>
          </w:p>
        </w:tc>
        <w:tc>
          <w:tcPr>
            <w:tcW w:w="944" w:type="pct"/>
          </w:tcPr>
          <w:p w14:paraId="682280CF"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bl>
    <w:p w14:paraId="70991192" w14:textId="77777777" w:rsidR="00586E7F" w:rsidRDefault="00586E7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73A9A8A6" w14:textId="58BDDA74" w:rsidTr="003F39D9">
        <w:trPr>
          <w:trHeight w:val="300"/>
        </w:trPr>
        <w:tc>
          <w:tcPr>
            <w:tcW w:w="4056" w:type="pct"/>
            <w:gridSpan w:val="2"/>
          </w:tcPr>
          <w:p w14:paraId="291A5E8A" w14:textId="72245251"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Integracja danych medycznych</w:t>
            </w:r>
          </w:p>
        </w:tc>
        <w:tc>
          <w:tcPr>
            <w:tcW w:w="944" w:type="pct"/>
          </w:tcPr>
          <w:p w14:paraId="067280CA" w14:textId="77777777" w:rsidR="003F39D9" w:rsidRPr="00087E31" w:rsidRDefault="003F39D9" w:rsidP="003F39D9">
            <w:pPr>
              <w:spacing w:after="0" w:line="240" w:lineRule="auto"/>
              <w:jc w:val="center"/>
              <w:rPr>
                <w:sz w:val="28"/>
                <w:szCs w:val="28"/>
              </w:rPr>
            </w:pPr>
          </w:p>
        </w:tc>
      </w:tr>
      <w:tr w:rsidR="003F39D9" w:rsidRPr="00A17E7B" w14:paraId="0177D868" w14:textId="71C38764" w:rsidTr="003F39D9">
        <w:trPr>
          <w:trHeight w:val="300"/>
        </w:trPr>
        <w:tc>
          <w:tcPr>
            <w:tcW w:w="306" w:type="pct"/>
          </w:tcPr>
          <w:p w14:paraId="1A5DF801"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EB7EFD0" w14:textId="2AFBD66E"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System służący do agregowania, analizy i przesyłania danych medycznych, pochodzących z przyłóżkowych urządzeń medycznych.</w:t>
            </w:r>
          </w:p>
        </w:tc>
        <w:tc>
          <w:tcPr>
            <w:tcW w:w="944" w:type="pct"/>
          </w:tcPr>
          <w:p w14:paraId="752E0880"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F8A80BE" w14:textId="02091C67" w:rsidTr="003F39D9">
        <w:trPr>
          <w:trHeight w:val="300"/>
        </w:trPr>
        <w:tc>
          <w:tcPr>
            <w:tcW w:w="306" w:type="pct"/>
          </w:tcPr>
          <w:p w14:paraId="7537FC64"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DB5B916" w14:textId="22000120"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Rozwiązanie składa się z elementów hardware (koncentratory, okablowanie) oraz software.</w:t>
            </w:r>
          </w:p>
        </w:tc>
        <w:tc>
          <w:tcPr>
            <w:tcW w:w="944" w:type="pct"/>
          </w:tcPr>
          <w:p w14:paraId="32933F4F"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755AF7D0" w14:textId="55F093C4" w:rsidTr="003F39D9">
        <w:trPr>
          <w:trHeight w:val="300"/>
        </w:trPr>
        <w:tc>
          <w:tcPr>
            <w:tcW w:w="306" w:type="pct"/>
          </w:tcPr>
          <w:p w14:paraId="7E21D63C"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F79F93A" w14:textId="7FDA8B60"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System łączy urządzenia medyczne z siecią szpitalną m.in. w celu tworzenia automatycznego zapisu danych pacjenta.</w:t>
            </w:r>
          </w:p>
        </w:tc>
        <w:tc>
          <w:tcPr>
            <w:tcW w:w="944" w:type="pct"/>
          </w:tcPr>
          <w:p w14:paraId="09619D6C"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1F58D3C7" w14:textId="00E0FC33" w:rsidTr="003F39D9">
        <w:trPr>
          <w:trHeight w:val="600"/>
        </w:trPr>
        <w:tc>
          <w:tcPr>
            <w:tcW w:w="306" w:type="pct"/>
          </w:tcPr>
          <w:p w14:paraId="63D157CC"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DE1ED49" w14:textId="5885A793"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System zapewnia przechwytywanie danych przesyłanych strumieniowo na żywo z przyłóżkowych urządzeń medycznych oraz przetwarzanie ich do standardowego formatu</w:t>
            </w:r>
            <w:r>
              <w:rPr>
                <w:rFonts w:ascii="Calibri" w:eastAsia="Times New Roman" w:hAnsi="Calibri" w:cs="Calibri"/>
                <w:color w:val="000000"/>
                <w:kern w:val="0"/>
                <w:sz w:val="22"/>
                <w:szCs w:val="22"/>
                <w:lang w:eastAsia="pl-PL"/>
                <w14:ligatures w14:val="none"/>
              </w:rPr>
              <w:t>.</w:t>
            </w:r>
          </w:p>
        </w:tc>
        <w:tc>
          <w:tcPr>
            <w:tcW w:w="944" w:type="pct"/>
          </w:tcPr>
          <w:p w14:paraId="5237DA56"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6E7F2D9" w14:textId="43BFFCB8" w:rsidTr="003F39D9">
        <w:trPr>
          <w:trHeight w:val="900"/>
        </w:trPr>
        <w:tc>
          <w:tcPr>
            <w:tcW w:w="306" w:type="pct"/>
          </w:tcPr>
          <w:p w14:paraId="42C49AB0"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DC12CFF" w14:textId="1E76193B"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System </w:t>
            </w:r>
            <w:r>
              <w:rPr>
                <w:rFonts w:ascii="Calibri" w:eastAsia="Times New Roman" w:hAnsi="Calibri" w:cs="Calibri"/>
                <w:color w:val="000000"/>
                <w:kern w:val="0"/>
                <w:sz w:val="22"/>
                <w:szCs w:val="22"/>
                <w:lang w:eastAsia="pl-PL"/>
                <w14:ligatures w14:val="none"/>
              </w:rPr>
              <w:t xml:space="preserve">obsługuje min. </w:t>
            </w:r>
            <w:r w:rsidRPr="00A17E7B">
              <w:rPr>
                <w:rFonts w:ascii="Calibri" w:eastAsia="Times New Roman" w:hAnsi="Calibri" w:cs="Calibri"/>
                <w:color w:val="000000"/>
                <w:kern w:val="0"/>
                <w:sz w:val="22"/>
                <w:szCs w:val="22"/>
                <w:lang w:eastAsia="pl-PL"/>
                <w14:ligatures w14:val="none"/>
              </w:rPr>
              <w:t xml:space="preserve">kardiomonitory, respiratory, aparaty do znieczulenia, pompy infuzyjne i </w:t>
            </w:r>
            <w:proofErr w:type="spellStart"/>
            <w:r w:rsidRPr="00A17E7B">
              <w:rPr>
                <w:rFonts w:ascii="Calibri" w:eastAsia="Times New Roman" w:hAnsi="Calibri" w:cs="Calibri"/>
                <w:color w:val="000000"/>
                <w:kern w:val="0"/>
                <w:sz w:val="22"/>
                <w:szCs w:val="22"/>
                <w:lang w:eastAsia="pl-PL"/>
                <w14:ligatures w14:val="none"/>
              </w:rPr>
              <w:t>strzykawkowe</w:t>
            </w:r>
            <w:proofErr w:type="spellEnd"/>
            <w:r w:rsidRPr="00A17E7B">
              <w:rPr>
                <w:rFonts w:ascii="Calibri" w:eastAsia="Times New Roman" w:hAnsi="Calibri" w:cs="Calibri"/>
                <w:color w:val="000000"/>
                <w:kern w:val="0"/>
                <w:sz w:val="22"/>
                <w:szCs w:val="22"/>
                <w:lang w:eastAsia="pl-PL"/>
                <w14:ligatures w14:val="none"/>
              </w:rPr>
              <w:t xml:space="preserve">, aparaty do terapii nerkozastępcze, sztuczne płuco -serce, monitory hemodynamiczne, inkubatory, pompy do </w:t>
            </w:r>
            <w:proofErr w:type="spellStart"/>
            <w:r w:rsidRPr="00A17E7B">
              <w:rPr>
                <w:rFonts w:ascii="Calibri" w:eastAsia="Times New Roman" w:hAnsi="Calibri" w:cs="Calibri"/>
                <w:color w:val="000000"/>
                <w:kern w:val="0"/>
                <w:sz w:val="22"/>
                <w:szCs w:val="22"/>
                <w:lang w:eastAsia="pl-PL"/>
                <w14:ligatures w14:val="none"/>
              </w:rPr>
              <w:t>kontrapulsacji</w:t>
            </w:r>
            <w:proofErr w:type="spellEnd"/>
            <w:r w:rsidRPr="00A17E7B">
              <w:rPr>
                <w:rFonts w:ascii="Calibri" w:eastAsia="Times New Roman" w:hAnsi="Calibri" w:cs="Calibri"/>
                <w:color w:val="000000"/>
                <w:kern w:val="0"/>
                <w:sz w:val="22"/>
                <w:szCs w:val="22"/>
                <w:lang w:eastAsia="pl-PL"/>
                <w14:ligatures w14:val="none"/>
              </w:rPr>
              <w:t xml:space="preserve"> wewnątrzaortalnej</w:t>
            </w:r>
          </w:p>
        </w:tc>
        <w:tc>
          <w:tcPr>
            <w:tcW w:w="944" w:type="pct"/>
          </w:tcPr>
          <w:p w14:paraId="374EFE3A"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230F40E" w14:textId="6C7BD9AC" w:rsidTr="003F39D9">
        <w:trPr>
          <w:trHeight w:val="300"/>
        </w:trPr>
        <w:tc>
          <w:tcPr>
            <w:tcW w:w="306" w:type="pct"/>
          </w:tcPr>
          <w:p w14:paraId="44BB2E46"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B5C6238" w14:textId="0B6F37C5"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System obsługuje niezależne od dostawcy urządzeń medycznych środowisko do agregacji danych.</w:t>
            </w:r>
          </w:p>
        </w:tc>
        <w:tc>
          <w:tcPr>
            <w:tcW w:w="944" w:type="pct"/>
          </w:tcPr>
          <w:p w14:paraId="665A9D2F"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22EBBF9" w14:textId="3D4CFE19" w:rsidTr="003F39D9">
        <w:trPr>
          <w:trHeight w:val="300"/>
        </w:trPr>
        <w:tc>
          <w:tcPr>
            <w:tcW w:w="306" w:type="pct"/>
          </w:tcPr>
          <w:p w14:paraId="6243AEED"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B0FA4B6" w14:textId="5BEB05A0"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Rozwiązanie obsługuje powiązywanie i uwierzytelnianie pomiędzy urządzeniami medycznymi a pacjentem.</w:t>
            </w:r>
          </w:p>
        </w:tc>
        <w:tc>
          <w:tcPr>
            <w:tcW w:w="944" w:type="pct"/>
          </w:tcPr>
          <w:p w14:paraId="4DBCDFBF"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4936D133" w14:textId="61E073FB" w:rsidTr="003F39D9">
        <w:trPr>
          <w:trHeight w:val="300"/>
        </w:trPr>
        <w:tc>
          <w:tcPr>
            <w:tcW w:w="306" w:type="pct"/>
          </w:tcPr>
          <w:p w14:paraId="44DD416D"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D82AD14" w14:textId="5668F509"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System</w:t>
            </w:r>
            <w:r w:rsidRPr="00A17E7B">
              <w:rPr>
                <w:rFonts w:ascii="Calibri" w:eastAsia="Times New Roman" w:hAnsi="Calibri" w:cs="Calibri"/>
                <w:color w:val="000000"/>
                <w:kern w:val="0"/>
                <w:sz w:val="22"/>
                <w:szCs w:val="22"/>
                <w:lang w:eastAsia="pl-PL"/>
                <w14:ligatures w14:val="none"/>
              </w:rPr>
              <w:t xml:space="preserve"> przeznaczon</w:t>
            </w:r>
            <w:r>
              <w:rPr>
                <w:rFonts w:ascii="Calibri" w:eastAsia="Times New Roman" w:hAnsi="Calibri" w:cs="Calibri"/>
                <w:color w:val="000000"/>
                <w:kern w:val="0"/>
                <w:sz w:val="22"/>
                <w:szCs w:val="22"/>
                <w:lang w:eastAsia="pl-PL"/>
                <w14:ligatures w14:val="none"/>
              </w:rPr>
              <w:t>y</w:t>
            </w:r>
            <w:r w:rsidRPr="00A17E7B">
              <w:rPr>
                <w:rFonts w:ascii="Calibri" w:eastAsia="Times New Roman" w:hAnsi="Calibri" w:cs="Calibri"/>
                <w:color w:val="000000"/>
                <w:kern w:val="0"/>
                <w:sz w:val="22"/>
                <w:szCs w:val="22"/>
                <w:lang w:eastAsia="pl-PL"/>
                <w14:ligatures w14:val="none"/>
              </w:rPr>
              <w:t xml:space="preserve"> do pracy w środowisku szpitalnym.</w:t>
            </w:r>
          </w:p>
        </w:tc>
        <w:tc>
          <w:tcPr>
            <w:tcW w:w="944" w:type="pct"/>
          </w:tcPr>
          <w:p w14:paraId="7ACE5CF7" w14:textId="77777777" w:rsidR="003F39D9"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094BB70" w14:textId="59D16870" w:rsidTr="003F39D9">
        <w:trPr>
          <w:trHeight w:val="600"/>
        </w:trPr>
        <w:tc>
          <w:tcPr>
            <w:tcW w:w="306" w:type="pct"/>
          </w:tcPr>
          <w:p w14:paraId="3491A8E9"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570471F5" w14:textId="6FD559B6"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N</w:t>
            </w:r>
            <w:r w:rsidRPr="00A17E7B">
              <w:rPr>
                <w:rFonts w:ascii="Calibri" w:eastAsia="Times New Roman" w:hAnsi="Calibri" w:cs="Calibri"/>
                <w:color w:val="000000"/>
                <w:kern w:val="0"/>
                <w:sz w:val="22"/>
                <w:szCs w:val="22"/>
                <w:lang w:eastAsia="pl-PL"/>
                <w14:ligatures w14:val="none"/>
              </w:rPr>
              <w:t>ie narusza danych pochodzących z urządzeń medycznych ani nie wpływa na działanie urządzeń medycznych, które są do niego podłączone.</w:t>
            </w:r>
          </w:p>
        </w:tc>
        <w:tc>
          <w:tcPr>
            <w:tcW w:w="944" w:type="pct"/>
          </w:tcPr>
          <w:p w14:paraId="51A08281" w14:textId="77777777" w:rsidR="003F39D9"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65762CB" w14:textId="15BB6555" w:rsidTr="003F39D9">
        <w:trPr>
          <w:trHeight w:val="1500"/>
        </w:trPr>
        <w:tc>
          <w:tcPr>
            <w:tcW w:w="306" w:type="pct"/>
          </w:tcPr>
          <w:p w14:paraId="47E6475E"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42CD0EA" w14:textId="6A4B15AC"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System</w:t>
            </w:r>
            <w:r w:rsidRPr="00A17E7B">
              <w:rPr>
                <w:rFonts w:ascii="Calibri" w:eastAsia="Times New Roman" w:hAnsi="Calibri" w:cs="Calibri"/>
                <w:color w:val="000000"/>
                <w:kern w:val="0"/>
                <w:sz w:val="22"/>
                <w:szCs w:val="22"/>
                <w:lang w:eastAsia="pl-PL"/>
                <w14:ligatures w14:val="none"/>
              </w:rPr>
              <w:t xml:space="preserve"> wyposażony jest w moduł identyfikacji urządzeń medycznych, realizujący funkcjonalność plug-and-</w:t>
            </w:r>
            <w:proofErr w:type="spellStart"/>
            <w:r w:rsidRPr="00A17E7B">
              <w:rPr>
                <w:rFonts w:ascii="Calibri" w:eastAsia="Times New Roman" w:hAnsi="Calibri" w:cs="Calibri"/>
                <w:color w:val="000000"/>
                <w:kern w:val="0"/>
                <w:sz w:val="22"/>
                <w:szCs w:val="22"/>
                <w:lang w:eastAsia="pl-PL"/>
                <w14:ligatures w14:val="none"/>
              </w:rPr>
              <w:t>play</w:t>
            </w:r>
            <w:proofErr w:type="spellEnd"/>
            <w:r w:rsidRPr="00A17E7B">
              <w:rPr>
                <w:rFonts w:ascii="Calibri" w:eastAsia="Times New Roman" w:hAnsi="Calibri" w:cs="Calibri"/>
                <w:color w:val="000000"/>
                <w:kern w:val="0"/>
                <w:sz w:val="22"/>
                <w:szCs w:val="22"/>
                <w:lang w:eastAsia="pl-PL"/>
                <w14:ligatures w14:val="none"/>
              </w:rPr>
              <w:t xml:space="preserve"> dla szeregowych połączeń urządzeń medycznych (wykrywanie, kiedy urządzenie medyczne jest odłączane i ponownie podłączane, automatyczna identyfikacja podłączonego urządzenia medycznego, inicjalizacja odpowiedniego interfejsu sterownika urządzenia).</w:t>
            </w:r>
          </w:p>
        </w:tc>
        <w:tc>
          <w:tcPr>
            <w:tcW w:w="944" w:type="pct"/>
          </w:tcPr>
          <w:p w14:paraId="512B38E2" w14:textId="77777777" w:rsidR="003F39D9"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4D26F59" w14:textId="02320920" w:rsidTr="003F39D9">
        <w:trPr>
          <w:trHeight w:val="300"/>
        </w:trPr>
        <w:tc>
          <w:tcPr>
            <w:tcW w:w="306" w:type="pct"/>
          </w:tcPr>
          <w:p w14:paraId="63214868"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175F205" w14:textId="64DE732F"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Baza sterowników dla </w:t>
            </w:r>
            <w:r>
              <w:rPr>
                <w:rFonts w:ascii="Calibri" w:eastAsia="Times New Roman" w:hAnsi="Calibri" w:cs="Calibri"/>
                <w:color w:val="000000"/>
                <w:kern w:val="0"/>
                <w:sz w:val="22"/>
                <w:szCs w:val="22"/>
                <w:lang w:eastAsia="pl-PL"/>
                <w14:ligatures w14:val="none"/>
              </w:rPr>
              <w:t>min.</w:t>
            </w:r>
            <w:r w:rsidRPr="00A17E7B">
              <w:rPr>
                <w:rFonts w:ascii="Calibri" w:eastAsia="Times New Roman" w:hAnsi="Calibri" w:cs="Calibri"/>
                <w:color w:val="000000"/>
                <w:kern w:val="0"/>
                <w:sz w:val="22"/>
                <w:szCs w:val="22"/>
                <w:lang w:eastAsia="pl-PL"/>
                <w14:ligatures w14:val="none"/>
              </w:rPr>
              <w:t xml:space="preserve"> 1200 urządzeń, </w:t>
            </w:r>
            <w:r>
              <w:rPr>
                <w:rFonts w:ascii="Calibri" w:eastAsia="Times New Roman" w:hAnsi="Calibri" w:cs="Calibri"/>
                <w:color w:val="000000"/>
                <w:kern w:val="0"/>
                <w:sz w:val="22"/>
                <w:szCs w:val="22"/>
                <w:lang w:eastAsia="pl-PL"/>
                <w14:ligatures w14:val="none"/>
              </w:rPr>
              <w:t>min.</w:t>
            </w:r>
            <w:r w:rsidRPr="00A17E7B">
              <w:rPr>
                <w:rFonts w:ascii="Calibri" w:eastAsia="Times New Roman" w:hAnsi="Calibri" w:cs="Calibri"/>
                <w:color w:val="000000"/>
                <w:kern w:val="0"/>
                <w:sz w:val="22"/>
                <w:szCs w:val="22"/>
                <w:lang w:eastAsia="pl-PL"/>
                <w14:ligatures w14:val="none"/>
              </w:rPr>
              <w:t xml:space="preserve"> 150 różnych producentów.</w:t>
            </w:r>
          </w:p>
        </w:tc>
        <w:tc>
          <w:tcPr>
            <w:tcW w:w="944" w:type="pct"/>
          </w:tcPr>
          <w:p w14:paraId="5494CDFE" w14:textId="5257DB03"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Potwierdzenie producenta</w:t>
            </w:r>
          </w:p>
        </w:tc>
      </w:tr>
      <w:tr w:rsidR="003F39D9" w:rsidRPr="00A17E7B" w14:paraId="301EDB69" w14:textId="6BAF5A0C" w:rsidTr="003F39D9">
        <w:trPr>
          <w:trHeight w:val="300"/>
        </w:trPr>
        <w:tc>
          <w:tcPr>
            <w:tcW w:w="306" w:type="pct"/>
          </w:tcPr>
          <w:p w14:paraId="503612A7"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780698BF" w14:textId="0EE3B226"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Obsługiwane typu danych: parametry życiowe, krzywe, alarmy, ustawienia urządzeń.</w:t>
            </w:r>
          </w:p>
        </w:tc>
        <w:tc>
          <w:tcPr>
            <w:tcW w:w="944" w:type="pct"/>
          </w:tcPr>
          <w:p w14:paraId="411E67DC"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27EC2599" w14:textId="4683332C" w:rsidTr="003F39D9">
        <w:trPr>
          <w:trHeight w:val="300"/>
        </w:trPr>
        <w:tc>
          <w:tcPr>
            <w:tcW w:w="306" w:type="pct"/>
          </w:tcPr>
          <w:p w14:paraId="6AA7517C"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AD42715" w14:textId="15C7E129"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Obsługiwanie urządzeń medycznych poprzez połączenia szeregowe, USB, sieciowe i bramki.</w:t>
            </w:r>
          </w:p>
        </w:tc>
        <w:tc>
          <w:tcPr>
            <w:tcW w:w="944" w:type="pct"/>
          </w:tcPr>
          <w:p w14:paraId="324EE711"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96293AE" w14:textId="180346FA" w:rsidTr="003F39D9">
        <w:trPr>
          <w:trHeight w:val="300"/>
        </w:trPr>
        <w:tc>
          <w:tcPr>
            <w:tcW w:w="306" w:type="pct"/>
          </w:tcPr>
          <w:p w14:paraId="6092CD3A" w14:textId="77777777" w:rsidR="003F39D9" w:rsidRPr="00A17E7B" w:rsidRDefault="003F39D9" w:rsidP="00827561">
            <w:pPr>
              <w:pStyle w:val="Akapitzlist"/>
              <w:numPr>
                <w:ilvl w:val="0"/>
                <w:numId w:val="21"/>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97F72C3" w14:textId="4FF9696B"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Sygnalizacja diodami LED o statusie połączeń:</w:t>
            </w:r>
            <w:r>
              <w:rPr>
                <w:rFonts w:ascii="Calibri" w:eastAsia="Times New Roman" w:hAnsi="Calibri" w:cs="Calibri"/>
                <w:color w:val="000000"/>
                <w:kern w:val="0"/>
                <w:sz w:val="22"/>
                <w:szCs w:val="22"/>
                <w:lang w:eastAsia="pl-PL"/>
                <w14:ligatures w14:val="none"/>
              </w:rPr>
              <w:t xml:space="preserve"> </w:t>
            </w:r>
            <w:proofErr w:type="spellStart"/>
            <w:r>
              <w:rPr>
                <w:rFonts w:ascii="Calibri" w:eastAsia="Times New Roman" w:hAnsi="Calibri" w:cs="Calibri"/>
                <w:color w:val="000000"/>
                <w:kern w:val="0"/>
                <w:sz w:val="22"/>
                <w:szCs w:val="22"/>
                <w:lang w:eastAsia="pl-PL"/>
                <w14:ligatures w14:val="none"/>
              </w:rPr>
              <w:t>ethernet</w:t>
            </w:r>
            <w:proofErr w:type="spellEnd"/>
            <w:r>
              <w:rPr>
                <w:rFonts w:ascii="Calibri" w:eastAsia="Times New Roman" w:hAnsi="Calibri" w:cs="Calibri"/>
                <w:color w:val="000000"/>
                <w:kern w:val="0"/>
                <w:sz w:val="22"/>
                <w:szCs w:val="22"/>
                <w:lang w:eastAsia="pl-PL"/>
                <w14:ligatures w14:val="none"/>
              </w:rPr>
              <w:t xml:space="preserve">, </w:t>
            </w:r>
            <w:r w:rsidRPr="00A17E7B">
              <w:rPr>
                <w:rFonts w:ascii="Calibri" w:eastAsia="Times New Roman" w:hAnsi="Calibri" w:cs="Calibri"/>
                <w:color w:val="000000"/>
                <w:kern w:val="0"/>
                <w:sz w:val="22"/>
                <w:szCs w:val="22"/>
                <w:lang w:eastAsia="pl-PL"/>
                <w14:ligatures w14:val="none"/>
              </w:rPr>
              <w:t>połączeń szeregowych</w:t>
            </w:r>
            <w:r>
              <w:rPr>
                <w:rFonts w:ascii="Calibri" w:eastAsia="Times New Roman" w:hAnsi="Calibri" w:cs="Calibri"/>
                <w:color w:val="000000"/>
                <w:kern w:val="0"/>
                <w:sz w:val="22"/>
                <w:szCs w:val="22"/>
                <w:lang w:eastAsia="pl-PL"/>
                <w14:ligatures w14:val="none"/>
              </w:rPr>
              <w:t>.</w:t>
            </w:r>
            <w:r w:rsidRPr="00A17E7B">
              <w:rPr>
                <w:rFonts w:ascii="Calibri" w:eastAsia="Times New Roman" w:hAnsi="Calibri" w:cs="Calibri"/>
                <w:color w:val="000000"/>
                <w:kern w:val="0"/>
                <w:sz w:val="22"/>
                <w:szCs w:val="22"/>
                <w:lang w:eastAsia="pl-PL"/>
                <w14:ligatures w14:val="none"/>
              </w:rPr>
              <w:t xml:space="preserve"> </w:t>
            </w:r>
          </w:p>
        </w:tc>
        <w:tc>
          <w:tcPr>
            <w:tcW w:w="944" w:type="pct"/>
          </w:tcPr>
          <w:p w14:paraId="50C6A974"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bl>
    <w:p w14:paraId="51C9E810" w14:textId="77777777" w:rsidR="00827561" w:rsidRDefault="008275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A17E7B" w14:paraId="524F3351" w14:textId="705FAFAA" w:rsidTr="003F39D9">
        <w:trPr>
          <w:trHeight w:val="300"/>
        </w:trPr>
        <w:tc>
          <w:tcPr>
            <w:tcW w:w="4056" w:type="pct"/>
            <w:gridSpan w:val="2"/>
          </w:tcPr>
          <w:p w14:paraId="4C25698D" w14:textId="3EC72F6A" w:rsidR="003F39D9" w:rsidRPr="00087E31" w:rsidRDefault="00827561"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Zarządzanie urzą</w:t>
            </w:r>
            <w:r>
              <w:rPr>
                <w:rFonts w:ascii="Calibri" w:eastAsia="Times New Roman" w:hAnsi="Calibri" w:cs="Calibri"/>
                <w:b/>
                <w:bCs/>
                <w:color w:val="000000"/>
                <w:kern w:val="0"/>
                <w:sz w:val="28"/>
                <w:szCs w:val="28"/>
                <w:lang w:eastAsia="pl-PL"/>
                <w14:ligatures w14:val="none"/>
              </w:rPr>
              <w:t>dz</w:t>
            </w:r>
            <w:r w:rsidRPr="00087E31">
              <w:rPr>
                <w:rFonts w:ascii="Calibri" w:eastAsia="Times New Roman" w:hAnsi="Calibri" w:cs="Calibri"/>
                <w:b/>
                <w:bCs/>
                <w:color w:val="000000"/>
                <w:kern w:val="0"/>
                <w:sz w:val="28"/>
                <w:szCs w:val="28"/>
                <w:lang w:eastAsia="pl-PL"/>
                <w14:ligatures w14:val="none"/>
              </w:rPr>
              <w:t>eniami medycznymi</w:t>
            </w:r>
          </w:p>
        </w:tc>
        <w:tc>
          <w:tcPr>
            <w:tcW w:w="944" w:type="pct"/>
          </w:tcPr>
          <w:p w14:paraId="21E2F582" w14:textId="77777777" w:rsidR="003F39D9" w:rsidRPr="00A17E7B" w:rsidRDefault="003F39D9" w:rsidP="003F39D9">
            <w:pPr>
              <w:spacing w:after="0" w:line="240" w:lineRule="auto"/>
              <w:jc w:val="center"/>
              <w:rPr>
                <w:rFonts w:ascii="Calibri" w:eastAsia="Times New Roman" w:hAnsi="Calibri" w:cs="Calibri"/>
                <w:b/>
                <w:bCs/>
                <w:color w:val="000000"/>
                <w:kern w:val="0"/>
                <w:sz w:val="22"/>
                <w:szCs w:val="22"/>
                <w:lang w:eastAsia="pl-PL"/>
                <w14:ligatures w14:val="none"/>
              </w:rPr>
            </w:pPr>
          </w:p>
        </w:tc>
      </w:tr>
      <w:tr w:rsidR="003F39D9" w:rsidRPr="00A17E7B" w14:paraId="5140D756" w14:textId="1AF153AC" w:rsidTr="003F39D9">
        <w:trPr>
          <w:trHeight w:val="600"/>
        </w:trPr>
        <w:tc>
          <w:tcPr>
            <w:tcW w:w="306" w:type="pct"/>
          </w:tcPr>
          <w:p w14:paraId="2A02B1C5"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370963F" w14:textId="60775F88"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Serwer agregujący dane z zainstalowaną platformą integracyjną, służącą do scentralizowanego zarządzania</w:t>
            </w:r>
          </w:p>
        </w:tc>
        <w:tc>
          <w:tcPr>
            <w:tcW w:w="944" w:type="pct"/>
          </w:tcPr>
          <w:p w14:paraId="37239FFD"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A4C2197" w14:textId="6CBD70B8" w:rsidTr="003F39D9">
        <w:trPr>
          <w:trHeight w:val="300"/>
        </w:trPr>
        <w:tc>
          <w:tcPr>
            <w:tcW w:w="306" w:type="pct"/>
          </w:tcPr>
          <w:p w14:paraId="46E43750"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F91E006" w14:textId="446A8E5C"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Agregowanie danych z nowych urządzeń medycznych, np. po wymianie kardiomonitora lub aparatu znieczulenia na nowszy model.</w:t>
            </w:r>
          </w:p>
        </w:tc>
        <w:tc>
          <w:tcPr>
            <w:tcW w:w="944" w:type="pct"/>
          </w:tcPr>
          <w:p w14:paraId="3A9A2B72"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77BF1180" w14:textId="47817DC5" w:rsidTr="003F39D9">
        <w:trPr>
          <w:trHeight w:val="300"/>
        </w:trPr>
        <w:tc>
          <w:tcPr>
            <w:tcW w:w="306" w:type="pct"/>
          </w:tcPr>
          <w:p w14:paraId="52223852"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5B18EC6" w14:textId="3C2AD460"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Agregowanie danych z urządzeń medycznych w przypadku zainstalowania w nich nowego oprogramowanie, np. po wykonaniu </w:t>
            </w:r>
            <w:proofErr w:type="spellStart"/>
            <w:r w:rsidRPr="00A17E7B">
              <w:rPr>
                <w:rFonts w:ascii="Calibri" w:eastAsia="Times New Roman" w:hAnsi="Calibri" w:cs="Calibri"/>
                <w:color w:val="000000"/>
                <w:kern w:val="0"/>
                <w:sz w:val="22"/>
                <w:szCs w:val="22"/>
                <w:lang w:eastAsia="pl-PL"/>
                <w14:ligatures w14:val="none"/>
              </w:rPr>
              <w:t>upgrade'u</w:t>
            </w:r>
            <w:proofErr w:type="spellEnd"/>
            <w:r w:rsidRPr="00A17E7B">
              <w:rPr>
                <w:rFonts w:ascii="Calibri" w:eastAsia="Times New Roman" w:hAnsi="Calibri" w:cs="Calibri"/>
                <w:color w:val="000000"/>
                <w:kern w:val="0"/>
                <w:sz w:val="22"/>
                <w:szCs w:val="22"/>
                <w:lang w:eastAsia="pl-PL"/>
                <w14:ligatures w14:val="none"/>
              </w:rPr>
              <w:t>.</w:t>
            </w:r>
          </w:p>
        </w:tc>
        <w:tc>
          <w:tcPr>
            <w:tcW w:w="944" w:type="pct"/>
          </w:tcPr>
          <w:p w14:paraId="4DC2C1BC"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7FAE209A" w14:textId="438F3AF7" w:rsidTr="003F39D9">
        <w:trPr>
          <w:trHeight w:val="300"/>
        </w:trPr>
        <w:tc>
          <w:tcPr>
            <w:tcW w:w="306" w:type="pct"/>
          </w:tcPr>
          <w:p w14:paraId="393B23CE"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780F57F4" w14:textId="5E98DADE"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Kompleksowy zarzadzanie, połączeniami i konfiguracjami aplikacji za pośrednictwem aplikacji internetowej.</w:t>
            </w:r>
          </w:p>
        </w:tc>
        <w:tc>
          <w:tcPr>
            <w:tcW w:w="944" w:type="pct"/>
          </w:tcPr>
          <w:p w14:paraId="68D5DE42"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7CDC45CF" w14:textId="6FBC8395" w:rsidTr="003F39D9">
        <w:trPr>
          <w:trHeight w:val="600"/>
        </w:trPr>
        <w:tc>
          <w:tcPr>
            <w:tcW w:w="306" w:type="pct"/>
          </w:tcPr>
          <w:p w14:paraId="2A568BC6"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5625A29D" w14:textId="72E42F96"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Sterowanie i zdalny podgląd na żywo</w:t>
            </w:r>
            <w:r>
              <w:rPr>
                <w:rFonts w:ascii="Calibri" w:eastAsia="Times New Roman" w:hAnsi="Calibri" w:cs="Calibri"/>
                <w:color w:val="000000"/>
                <w:kern w:val="0"/>
                <w:sz w:val="22"/>
                <w:szCs w:val="22"/>
                <w:lang w:eastAsia="pl-PL"/>
                <w14:ligatures w14:val="none"/>
              </w:rPr>
              <w:t xml:space="preserve"> </w:t>
            </w:r>
            <w:r w:rsidRPr="00A17E7B">
              <w:rPr>
                <w:rFonts w:ascii="Calibri" w:eastAsia="Times New Roman" w:hAnsi="Calibri" w:cs="Calibri"/>
                <w:color w:val="000000"/>
                <w:kern w:val="0"/>
                <w:sz w:val="22"/>
                <w:szCs w:val="22"/>
                <w:lang w:eastAsia="pl-PL"/>
                <w14:ligatures w14:val="none"/>
              </w:rPr>
              <w:t>– wyszukiwanie, filtrowanie, dostęp do szczegółów i statusu</w:t>
            </w:r>
            <w:r>
              <w:rPr>
                <w:rFonts w:ascii="Calibri" w:eastAsia="Times New Roman" w:hAnsi="Calibri" w:cs="Calibri"/>
                <w:color w:val="000000"/>
                <w:kern w:val="0"/>
                <w:sz w:val="22"/>
                <w:szCs w:val="22"/>
                <w:lang w:eastAsia="pl-PL"/>
                <w14:ligatures w14:val="none"/>
              </w:rPr>
              <w:t>.</w:t>
            </w:r>
          </w:p>
        </w:tc>
        <w:tc>
          <w:tcPr>
            <w:tcW w:w="944" w:type="pct"/>
          </w:tcPr>
          <w:p w14:paraId="2E10E3C4"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277E8ACA" w14:textId="58FE9AC3" w:rsidTr="003F39D9">
        <w:trPr>
          <w:trHeight w:val="600"/>
        </w:trPr>
        <w:tc>
          <w:tcPr>
            <w:tcW w:w="306" w:type="pct"/>
          </w:tcPr>
          <w:p w14:paraId="1FBEF8D2"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96F222B" w14:textId="60A40275"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Platforma </w:t>
            </w:r>
            <w:r>
              <w:rPr>
                <w:rFonts w:ascii="Calibri" w:eastAsia="Times New Roman" w:hAnsi="Calibri" w:cs="Calibri"/>
                <w:color w:val="000000"/>
                <w:kern w:val="0"/>
                <w:sz w:val="22"/>
                <w:szCs w:val="22"/>
                <w:lang w:eastAsia="pl-PL"/>
                <w14:ligatures w14:val="none"/>
              </w:rPr>
              <w:t>do</w:t>
            </w:r>
            <w:r w:rsidRPr="00A17E7B">
              <w:rPr>
                <w:rFonts w:ascii="Calibri" w:eastAsia="Times New Roman" w:hAnsi="Calibri" w:cs="Calibri"/>
                <w:color w:val="000000"/>
                <w:kern w:val="0"/>
                <w:sz w:val="22"/>
                <w:szCs w:val="22"/>
                <w:lang w:eastAsia="pl-PL"/>
                <w14:ligatures w14:val="none"/>
              </w:rPr>
              <w:t xml:space="preserve"> zarządzani</w:t>
            </w:r>
            <w:r>
              <w:rPr>
                <w:rFonts w:ascii="Calibri" w:eastAsia="Times New Roman" w:hAnsi="Calibri" w:cs="Calibri"/>
                <w:color w:val="000000"/>
                <w:kern w:val="0"/>
                <w:sz w:val="22"/>
                <w:szCs w:val="22"/>
                <w:lang w:eastAsia="pl-PL"/>
                <w14:ligatures w14:val="none"/>
              </w:rPr>
              <w:t>a</w:t>
            </w:r>
            <w:r w:rsidRPr="00A17E7B">
              <w:rPr>
                <w:rFonts w:ascii="Calibri" w:eastAsia="Times New Roman" w:hAnsi="Calibri" w:cs="Calibri"/>
                <w:color w:val="000000"/>
                <w:kern w:val="0"/>
                <w:sz w:val="22"/>
                <w:szCs w:val="22"/>
                <w:lang w:eastAsia="pl-PL"/>
                <w14:ligatures w14:val="none"/>
              </w:rPr>
              <w:t xml:space="preserve"> podłączony</w:t>
            </w:r>
            <w:r>
              <w:rPr>
                <w:rFonts w:ascii="Calibri" w:eastAsia="Times New Roman" w:hAnsi="Calibri" w:cs="Calibri"/>
                <w:color w:val="000000"/>
                <w:kern w:val="0"/>
                <w:sz w:val="22"/>
                <w:szCs w:val="22"/>
                <w:lang w:eastAsia="pl-PL"/>
                <w14:ligatures w14:val="none"/>
              </w:rPr>
              <w:t xml:space="preserve">ch </w:t>
            </w:r>
            <w:r w:rsidRPr="00A17E7B">
              <w:rPr>
                <w:rFonts w:ascii="Calibri" w:eastAsia="Times New Roman" w:hAnsi="Calibri" w:cs="Calibri"/>
                <w:color w:val="000000"/>
                <w:kern w:val="0"/>
                <w:sz w:val="22"/>
                <w:szCs w:val="22"/>
                <w:lang w:eastAsia="pl-PL"/>
                <w14:ligatures w14:val="none"/>
              </w:rPr>
              <w:t>urządze</w:t>
            </w:r>
            <w:r>
              <w:rPr>
                <w:rFonts w:ascii="Calibri" w:eastAsia="Times New Roman" w:hAnsi="Calibri" w:cs="Calibri"/>
                <w:color w:val="000000"/>
                <w:kern w:val="0"/>
                <w:sz w:val="22"/>
                <w:szCs w:val="22"/>
                <w:lang w:eastAsia="pl-PL"/>
                <w14:ligatures w14:val="none"/>
              </w:rPr>
              <w:t xml:space="preserve">ń </w:t>
            </w:r>
            <w:r w:rsidRPr="00A17E7B">
              <w:rPr>
                <w:rFonts w:ascii="Calibri" w:eastAsia="Times New Roman" w:hAnsi="Calibri" w:cs="Calibri"/>
                <w:color w:val="000000"/>
                <w:kern w:val="0"/>
                <w:sz w:val="22"/>
                <w:szCs w:val="22"/>
                <w:lang w:eastAsia="pl-PL"/>
                <w14:ligatures w14:val="none"/>
              </w:rPr>
              <w:t>medyczny</w:t>
            </w:r>
            <w:r>
              <w:rPr>
                <w:rFonts w:ascii="Calibri" w:eastAsia="Times New Roman" w:hAnsi="Calibri" w:cs="Calibri"/>
                <w:color w:val="000000"/>
                <w:kern w:val="0"/>
                <w:sz w:val="22"/>
                <w:szCs w:val="22"/>
                <w:lang w:eastAsia="pl-PL"/>
                <w14:ligatures w14:val="none"/>
              </w:rPr>
              <w:t>ch.</w:t>
            </w:r>
            <w:r w:rsidRPr="00A17E7B">
              <w:rPr>
                <w:rFonts w:ascii="Calibri" w:eastAsia="Times New Roman" w:hAnsi="Calibri" w:cs="Calibri"/>
                <w:color w:val="000000"/>
                <w:kern w:val="0"/>
                <w:sz w:val="22"/>
                <w:szCs w:val="22"/>
                <w:lang w:eastAsia="pl-PL"/>
                <w14:ligatures w14:val="none"/>
              </w:rPr>
              <w:t xml:space="preserve"> W ramach platformy różne ekrany konfiguracyjne m. in. obrazujące w sposób graficzny), status podłączonych urządzeń medycznych (zbieranie danych, zatrzymane, brak </w:t>
            </w:r>
            <w:proofErr w:type="spellStart"/>
            <w:r w:rsidRPr="00A17E7B">
              <w:rPr>
                <w:rFonts w:ascii="Calibri" w:eastAsia="Times New Roman" w:hAnsi="Calibri" w:cs="Calibri"/>
                <w:color w:val="000000"/>
                <w:kern w:val="0"/>
                <w:sz w:val="22"/>
                <w:szCs w:val="22"/>
                <w:lang w:eastAsia="pl-PL"/>
                <w14:ligatures w14:val="none"/>
              </w:rPr>
              <w:t>przesyłu</w:t>
            </w:r>
            <w:proofErr w:type="spellEnd"/>
            <w:r w:rsidRPr="00A17E7B">
              <w:rPr>
                <w:rFonts w:ascii="Calibri" w:eastAsia="Times New Roman" w:hAnsi="Calibri" w:cs="Calibri"/>
                <w:color w:val="000000"/>
                <w:kern w:val="0"/>
                <w:sz w:val="22"/>
                <w:szCs w:val="22"/>
                <w:lang w:eastAsia="pl-PL"/>
                <w14:ligatures w14:val="none"/>
              </w:rPr>
              <w:t xml:space="preserve"> danych, błąd, nie wykryte) oraz status </w:t>
            </w:r>
            <w:r>
              <w:rPr>
                <w:rFonts w:ascii="Calibri" w:eastAsia="Times New Roman" w:hAnsi="Calibri" w:cs="Calibri"/>
                <w:color w:val="000000"/>
                <w:kern w:val="0"/>
                <w:sz w:val="22"/>
                <w:szCs w:val="22"/>
                <w:lang w:eastAsia="pl-PL"/>
                <w14:ligatures w14:val="none"/>
              </w:rPr>
              <w:t>konfiguracji z</w:t>
            </w:r>
            <w:r w:rsidRPr="00A17E7B">
              <w:rPr>
                <w:rFonts w:ascii="Calibri" w:eastAsia="Times New Roman" w:hAnsi="Calibri" w:cs="Calibri"/>
                <w:color w:val="000000"/>
                <w:kern w:val="0"/>
                <w:sz w:val="22"/>
                <w:szCs w:val="22"/>
                <w:lang w:eastAsia="pl-PL"/>
                <w14:ligatures w14:val="none"/>
              </w:rPr>
              <w:t xml:space="preserve"> systemami zewnętrznymi.</w:t>
            </w:r>
          </w:p>
        </w:tc>
        <w:tc>
          <w:tcPr>
            <w:tcW w:w="944" w:type="pct"/>
          </w:tcPr>
          <w:p w14:paraId="3A840C66"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15605EAD" w14:textId="758787E1" w:rsidTr="003F39D9">
        <w:trPr>
          <w:trHeight w:val="600"/>
        </w:trPr>
        <w:tc>
          <w:tcPr>
            <w:tcW w:w="306" w:type="pct"/>
          </w:tcPr>
          <w:p w14:paraId="27517A28"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5F0D1EB8" w14:textId="1554135F"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Dodatkowy ekran z listą wszystkich </w:t>
            </w:r>
            <w:r>
              <w:rPr>
                <w:rFonts w:ascii="Calibri" w:eastAsia="Times New Roman" w:hAnsi="Calibri" w:cs="Calibri"/>
                <w:color w:val="000000"/>
                <w:kern w:val="0"/>
                <w:sz w:val="22"/>
                <w:szCs w:val="22"/>
                <w:lang w:eastAsia="pl-PL"/>
                <w14:ligatures w14:val="none"/>
              </w:rPr>
              <w:t>podłączeń</w:t>
            </w:r>
            <w:r w:rsidRPr="00A17E7B">
              <w:rPr>
                <w:rFonts w:ascii="Calibri" w:eastAsia="Times New Roman" w:hAnsi="Calibri" w:cs="Calibri"/>
                <w:color w:val="000000"/>
                <w:kern w:val="0"/>
                <w:sz w:val="22"/>
                <w:szCs w:val="22"/>
                <w:lang w:eastAsia="pl-PL"/>
                <w14:ligatures w14:val="none"/>
              </w:rPr>
              <w:t xml:space="preserve"> oraz automatyczną wyszukiwarką z możliwością filtrowania m.in. po statusie, typie połączenia, modelu, ewentualnych błędach.</w:t>
            </w:r>
          </w:p>
        </w:tc>
        <w:tc>
          <w:tcPr>
            <w:tcW w:w="944" w:type="pct"/>
          </w:tcPr>
          <w:p w14:paraId="6B74C9C2"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4313D9C8" w14:textId="7A6D08FD" w:rsidTr="003F39D9">
        <w:trPr>
          <w:trHeight w:val="600"/>
        </w:trPr>
        <w:tc>
          <w:tcPr>
            <w:tcW w:w="306" w:type="pct"/>
          </w:tcPr>
          <w:p w14:paraId="4412099B"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2D1CC08E" w14:textId="7BC80919"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Dodatkowy ekran z listą wszystkich podłączonych urządzeń medycznych oraz automatyczną wyszukiwarką z możliwością filtrowania m.in. po producencie, modelu, lokalizacji, typie połączenia, statusie.</w:t>
            </w:r>
          </w:p>
        </w:tc>
        <w:tc>
          <w:tcPr>
            <w:tcW w:w="944" w:type="pct"/>
          </w:tcPr>
          <w:p w14:paraId="43FED94E"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0F22D39D" w14:textId="22E367DE" w:rsidTr="003F39D9">
        <w:trPr>
          <w:trHeight w:val="300"/>
        </w:trPr>
        <w:tc>
          <w:tcPr>
            <w:tcW w:w="306" w:type="pct"/>
          </w:tcPr>
          <w:p w14:paraId="4A27ED2B"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B96B175" w14:textId="03789BB6"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Możliwość skonfigurowania </w:t>
            </w:r>
            <w:r>
              <w:rPr>
                <w:rFonts w:ascii="Calibri" w:eastAsia="Times New Roman" w:hAnsi="Calibri" w:cs="Calibri"/>
                <w:color w:val="000000"/>
                <w:kern w:val="0"/>
                <w:sz w:val="22"/>
                <w:szCs w:val="22"/>
                <w:lang w:eastAsia="pl-PL"/>
                <w14:ligatures w14:val="none"/>
              </w:rPr>
              <w:t xml:space="preserve">min. </w:t>
            </w:r>
            <w:r w:rsidRPr="00A17E7B">
              <w:rPr>
                <w:rFonts w:ascii="Calibri" w:eastAsia="Times New Roman" w:hAnsi="Calibri" w:cs="Calibri"/>
                <w:color w:val="000000"/>
                <w:kern w:val="0"/>
                <w:sz w:val="22"/>
                <w:szCs w:val="22"/>
                <w:lang w:eastAsia="pl-PL"/>
                <w14:ligatures w14:val="none"/>
              </w:rPr>
              <w:t xml:space="preserve">8 konektorów przesyłających dane do kilku, różnych systemów zewnętrznych (HIS, CIS, inne) jednocześnie. </w:t>
            </w:r>
          </w:p>
        </w:tc>
        <w:tc>
          <w:tcPr>
            <w:tcW w:w="944" w:type="pct"/>
          </w:tcPr>
          <w:p w14:paraId="09148405"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B4F43EB" w14:textId="73197B85" w:rsidTr="003F39D9">
        <w:trPr>
          <w:trHeight w:val="300"/>
        </w:trPr>
        <w:tc>
          <w:tcPr>
            <w:tcW w:w="306" w:type="pct"/>
          </w:tcPr>
          <w:p w14:paraId="55979FE7"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61CD61F" w14:textId="78C26B34"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Możliwość skonfigurowania oddzielnie każdego konektora pozwalające na dopasowanie przesyłanych danych do systemu odbierającego. </w:t>
            </w:r>
          </w:p>
        </w:tc>
        <w:tc>
          <w:tcPr>
            <w:tcW w:w="944" w:type="pct"/>
          </w:tcPr>
          <w:p w14:paraId="33A49700"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2955C56" w14:textId="4C41B43D" w:rsidTr="003F39D9">
        <w:trPr>
          <w:trHeight w:val="300"/>
        </w:trPr>
        <w:tc>
          <w:tcPr>
            <w:tcW w:w="306" w:type="pct"/>
          </w:tcPr>
          <w:p w14:paraId="4CFF7075"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0AED745A" w14:textId="2E48904E"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Możliwość zaawansowanego filtrowania i przetwarzania danych przychodzących z urządzeń medycznych m. in. </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interwał zbierania danych,</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łączenie danych z dwóch różnych parametrów w jeden,</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wybór parametrów które mają być zbierane z urządzeń,</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zmiana etykiety parametru na inny,</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filtrowanie parametrów spełniających określony, zdefiniowany warunek.</w:t>
            </w:r>
          </w:p>
        </w:tc>
        <w:tc>
          <w:tcPr>
            <w:tcW w:w="944" w:type="pct"/>
          </w:tcPr>
          <w:p w14:paraId="0FAC6ED1"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11D60D50" w14:textId="6523F58E" w:rsidTr="003F39D9">
        <w:trPr>
          <w:trHeight w:val="300"/>
        </w:trPr>
        <w:tc>
          <w:tcPr>
            <w:tcW w:w="306" w:type="pct"/>
          </w:tcPr>
          <w:p w14:paraId="54D09295"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7FB6171" w14:textId="23CEEFC1"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Platforma może działać w modelu wysokiej dostępności (HA).</w:t>
            </w:r>
          </w:p>
        </w:tc>
        <w:tc>
          <w:tcPr>
            <w:tcW w:w="944" w:type="pct"/>
          </w:tcPr>
          <w:p w14:paraId="2F903A2E"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578F7410" w14:textId="4B14B846" w:rsidTr="003F39D9">
        <w:trPr>
          <w:trHeight w:val="600"/>
        </w:trPr>
        <w:tc>
          <w:tcPr>
            <w:tcW w:w="306" w:type="pct"/>
          </w:tcPr>
          <w:p w14:paraId="33339FBF"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5BC960B2" w14:textId="6094454E"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Platforma obsługuje pracę w środowisku serwerów klastrowych, umożliwiając automatyczne udostępnianie konfiguracji wszystkim serwerom. Eliminuje to konieczność ręcznego kopiowania konfiguracji między serwerami, co ułatwia wdrażanie i konserwację systemu.</w:t>
            </w:r>
          </w:p>
        </w:tc>
        <w:tc>
          <w:tcPr>
            <w:tcW w:w="944" w:type="pct"/>
          </w:tcPr>
          <w:p w14:paraId="74EE2CCB"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6B21235E" w14:textId="70396001" w:rsidTr="003F39D9">
        <w:trPr>
          <w:trHeight w:val="300"/>
        </w:trPr>
        <w:tc>
          <w:tcPr>
            <w:tcW w:w="306" w:type="pct"/>
          </w:tcPr>
          <w:p w14:paraId="1143D78A" w14:textId="77777777" w:rsidR="003F39D9" w:rsidRPr="00A17E7B" w:rsidRDefault="003F39D9" w:rsidP="00827561">
            <w:pPr>
              <w:pStyle w:val="Akapitzlist"/>
              <w:numPr>
                <w:ilvl w:val="0"/>
                <w:numId w:val="22"/>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5647D21" w14:textId="5E843721"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Platforma zapewnia szyfrowanie danych z urządzeń medycznych przesyłanych między platformą a zewnętrznymi systemami odbierającymi.</w:t>
            </w:r>
          </w:p>
        </w:tc>
        <w:tc>
          <w:tcPr>
            <w:tcW w:w="944" w:type="pct"/>
          </w:tcPr>
          <w:p w14:paraId="6424F4BB"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bl>
    <w:p w14:paraId="49D89C55" w14:textId="77777777" w:rsidR="00827561" w:rsidRDefault="008275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A17E7B" w14:paraId="26FD2AE1" w14:textId="78CD9933" w:rsidTr="003F39D9">
        <w:trPr>
          <w:trHeight w:val="300"/>
        </w:trPr>
        <w:tc>
          <w:tcPr>
            <w:tcW w:w="4056" w:type="pct"/>
            <w:gridSpan w:val="2"/>
          </w:tcPr>
          <w:p w14:paraId="7156B8D1" w14:textId="496593C1" w:rsidR="003F39D9" w:rsidRPr="00A17E7B" w:rsidRDefault="00827561" w:rsidP="003F39D9">
            <w:pPr>
              <w:spacing w:after="0" w:line="240" w:lineRule="auto"/>
              <w:jc w:val="center"/>
              <w:rPr>
                <w:rFonts w:ascii="Calibri" w:eastAsia="Times New Roman" w:hAnsi="Calibri" w:cs="Calibri"/>
                <w:b/>
                <w:bCs/>
                <w:color w:val="000000"/>
                <w:kern w:val="0"/>
                <w:sz w:val="22"/>
                <w:szCs w:val="22"/>
                <w:lang w:eastAsia="pl-PL"/>
                <w14:ligatures w14:val="none"/>
              </w:rPr>
            </w:pPr>
            <w:r w:rsidRPr="00087E31">
              <w:rPr>
                <w:rFonts w:ascii="Calibri" w:eastAsia="Times New Roman" w:hAnsi="Calibri" w:cs="Calibri"/>
                <w:b/>
                <w:bCs/>
                <w:color w:val="000000"/>
                <w:kern w:val="0"/>
                <w:sz w:val="28"/>
                <w:szCs w:val="28"/>
                <w:lang w:eastAsia="pl-PL"/>
                <w14:ligatures w14:val="none"/>
              </w:rPr>
              <w:t>Komunikacja</w:t>
            </w:r>
          </w:p>
        </w:tc>
        <w:tc>
          <w:tcPr>
            <w:tcW w:w="944" w:type="pct"/>
          </w:tcPr>
          <w:p w14:paraId="027B2F9E" w14:textId="77777777" w:rsidR="003F39D9" w:rsidRPr="00A17E7B" w:rsidRDefault="003F39D9" w:rsidP="003F39D9">
            <w:pPr>
              <w:spacing w:after="0" w:line="240" w:lineRule="auto"/>
              <w:jc w:val="center"/>
              <w:rPr>
                <w:rFonts w:ascii="Calibri" w:eastAsia="Times New Roman" w:hAnsi="Calibri" w:cs="Calibri"/>
                <w:b/>
                <w:bCs/>
                <w:color w:val="000000"/>
                <w:kern w:val="0"/>
                <w:sz w:val="22"/>
                <w:szCs w:val="22"/>
                <w:lang w:eastAsia="pl-PL"/>
                <w14:ligatures w14:val="none"/>
              </w:rPr>
            </w:pPr>
          </w:p>
        </w:tc>
      </w:tr>
      <w:tr w:rsidR="003F39D9" w:rsidRPr="00A17E7B" w14:paraId="3D170090" w14:textId="4ADE7E10" w:rsidTr="003F39D9">
        <w:trPr>
          <w:trHeight w:val="600"/>
        </w:trPr>
        <w:tc>
          <w:tcPr>
            <w:tcW w:w="306" w:type="pct"/>
          </w:tcPr>
          <w:p w14:paraId="68448923" w14:textId="77777777" w:rsidR="003F39D9" w:rsidRPr="00A17E7B" w:rsidRDefault="003F39D9" w:rsidP="00827561">
            <w:pPr>
              <w:pStyle w:val="Akapitzlist"/>
              <w:numPr>
                <w:ilvl w:val="0"/>
                <w:numId w:val="23"/>
              </w:numPr>
              <w:spacing w:after="0" w:line="240" w:lineRule="auto"/>
              <w:jc w:val="both"/>
              <w:rPr>
                <w:rFonts w:ascii="Calibri" w:eastAsia="Times New Roman" w:hAnsi="Calibri" w:cs="Calibri"/>
                <w:color w:val="000000"/>
                <w:kern w:val="0"/>
                <w:sz w:val="22"/>
                <w:szCs w:val="22"/>
                <w:lang w:eastAsia="pl-PL"/>
                <w14:ligatures w14:val="none"/>
              </w:rPr>
            </w:pPr>
          </w:p>
        </w:tc>
        <w:tc>
          <w:tcPr>
            <w:tcW w:w="3750" w:type="pct"/>
            <w:vAlign w:val="center"/>
            <w:hideMark/>
          </w:tcPr>
          <w:p w14:paraId="5962C471" w14:textId="1C1EDE8F" w:rsidR="003F39D9" w:rsidRPr="00A17E7B" w:rsidRDefault="003F39D9" w:rsidP="003F39D9">
            <w:pPr>
              <w:spacing w:after="0" w:line="240" w:lineRule="auto"/>
              <w:jc w:val="both"/>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Dane z urządzeń przesyłane są z wykorzystaniem standardu RS-232.</w:t>
            </w:r>
          </w:p>
        </w:tc>
        <w:tc>
          <w:tcPr>
            <w:tcW w:w="944" w:type="pct"/>
          </w:tcPr>
          <w:p w14:paraId="54971876"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032BB489" w14:textId="43923FE2" w:rsidTr="003F39D9">
        <w:trPr>
          <w:trHeight w:val="300"/>
        </w:trPr>
        <w:tc>
          <w:tcPr>
            <w:tcW w:w="306" w:type="pct"/>
          </w:tcPr>
          <w:p w14:paraId="4E7B7F48"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67D622A" w14:textId="0E7A5150"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System</w:t>
            </w:r>
            <w:r w:rsidRPr="00A17E7B">
              <w:rPr>
                <w:rFonts w:ascii="Calibri" w:eastAsia="Times New Roman" w:hAnsi="Calibri" w:cs="Calibri"/>
                <w:color w:val="000000"/>
                <w:kern w:val="0"/>
                <w:sz w:val="22"/>
                <w:szCs w:val="22"/>
                <w:lang w:eastAsia="pl-PL"/>
                <w14:ligatures w14:val="none"/>
              </w:rPr>
              <w:t xml:space="preserve"> korzysta z następujących standardów łączności:</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IEEE 802.11 a/b/d/g/h/j/n/</w:t>
            </w:r>
            <w:proofErr w:type="spellStart"/>
            <w:r w:rsidRPr="00A17E7B">
              <w:rPr>
                <w:rFonts w:ascii="Calibri" w:eastAsia="Times New Roman" w:hAnsi="Calibri" w:cs="Calibri"/>
                <w:color w:val="000000"/>
                <w:kern w:val="0"/>
                <w:sz w:val="22"/>
                <w:szCs w:val="22"/>
                <w:lang w:eastAsia="pl-PL"/>
                <w14:ligatures w14:val="none"/>
              </w:rPr>
              <w:t>ac</w:t>
            </w:r>
            <w:proofErr w:type="spellEnd"/>
            <w:r w:rsidRPr="00A17E7B">
              <w:rPr>
                <w:rFonts w:ascii="Calibri" w:eastAsia="Times New Roman" w:hAnsi="Calibri" w:cs="Calibri"/>
                <w:color w:val="000000"/>
                <w:kern w:val="0"/>
                <w:sz w:val="22"/>
                <w:szCs w:val="22"/>
                <w:lang w:eastAsia="pl-PL"/>
                <w14:ligatures w14:val="none"/>
              </w:rPr>
              <w:t>/r/w używając pasma 2,4 GHz lub 5 GHz</w:t>
            </w:r>
            <w:r>
              <w:rPr>
                <w:rFonts w:ascii="Calibri" w:eastAsia="Times New Roman" w:hAnsi="Calibri" w:cs="Calibri"/>
                <w:color w:val="000000"/>
                <w:kern w:val="0"/>
                <w:sz w:val="22"/>
                <w:szCs w:val="22"/>
                <w:lang w:eastAsia="pl-PL"/>
                <w14:ligatures w14:val="none"/>
              </w:rPr>
              <w:br/>
            </w:r>
            <w:r w:rsidRPr="00A17E7B">
              <w:rPr>
                <w:rFonts w:ascii="Calibri" w:eastAsia="Times New Roman" w:hAnsi="Calibri" w:cs="Calibri"/>
                <w:color w:val="000000"/>
                <w:kern w:val="0"/>
                <w:sz w:val="22"/>
                <w:szCs w:val="22"/>
                <w:lang w:eastAsia="pl-PL"/>
                <w14:ligatures w14:val="none"/>
              </w:rPr>
              <w:t>IEEE 802.3 10Mb / 100Mb / 1Gb</w:t>
            </w:r>
          </w:p>
        </w:tc>
        <w:tc>
          <w:tcPr>
            <w:tcW w:w="944" w:type="pct"/>
          </w:tcPr>
          <w:p w14:paraId="5CA992D9" w14:textId="77777777" w:rsidR="003F39D9"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41000DE3" w14:textId="70736F30" w:rsidTr="003F39D9">
        <w:trPr>
          <w:trHeight w:val="300"/>
        </w:trPr>
        <w:tc>
          <w:tcPr>
            <w:tcW w:w="306" w:type="pct"/>
          </w:tcPr>
          <w:p w14:paraId="7667057D"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07541D98" w14:textId="1F5AB88F"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Kompatybilność z bezprzewodowymi standardami bezpieczeństwa WPA-PSK, WPA2-PSK i WPA2 Enterprise.</w:t>
            </w:r>
          </w:p>
        </w:tc>
        <w:tc>
          <w:tcPr>
            <w:tcW w:w="944" w:type="pct"/>
          </w:tcPr>
          <w:p w14:paraId="177D74E8"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32C81EC3" w14:textId="42FAB47C" w:rsidTr="003F39D9">
        <w:trPr>
          <w:trHeight w:val="300"/>
        </w:trPr>
        <w:tc>
          <w:tcPr>
            <w:tcW w:w="306" w:type="pct"/>
          </w:tcPr>
          <w:p w14:paraId="69E1ED4C"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A2183C0" w14:textId="058E1FDD"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Porty mogą być skonfigurowane w sposób statyczny oraz dynamiczny.</w:t>
            </w:r>
          </w:p>
        </w:tc>
        <w:tc>
          <w:tcPr>
            <w:tcW w:w="944" w:type="pct"/>
          </w:tcPr>
          <w:p w14:paraId="26EAC879"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37865B34" w14:textId="1819921E" w:rsidTr="003F39D9">
        <w:trPr>
          <w:trHeight w:val="300"/>
        </w:trPr>
        <w:tc>
          <w:tcPr>
            <w:tcW w:w="306" w:type="pct"/>
          </w:tcPr>
          <w:p w14:paraId="51194020"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4250F9A7" w14:textId="386924CC"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Porty w standardzie RJ45.</w:t>
            </w:r>
          </w:p>
        </w:tc>
        <w:tc>
          <w:tcPr>
            <w:tcW w:w="944" w:type="pct"/>
          </w:tcPr>
          <w:p w14:paraId="2807394E"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2E5419A3" w14:textId="382E25DA" w:rsidTr="003F39D9">
        <w:trPr>
          <w:trHeight w:val="300"/>
        </w:trPr>
        <w:tc>
          <w:tcPr>
            <w:tcW w:w="306" w:type="pct"/>
          </w:tcPr>
          <w:p w14:paraId="201BB7C6"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3865A412" w14:textId="50BDE58A"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Dane przesyłane z serwera w standardzie HL7.</w:t>
            </w:r>
          </w:p>
        </w:tc>
        <w:tc>
          <w:tcPr>
            <w:tcW w:w="944" w:type="pct"/>
          </w:tcPr>
          <w:p w14:paraId="5D6EDEBB"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1A675BE0" w14:textId="0163912A" w:rsidTr="003F39D9">
        <w:trPr>
          <w:trHeight w:val="300"/>
        </w:trPr>
        <w:tc>
          <w:tcPr>
            <w:tcW w:w="306" w:type="pct"/>
          </w:tcPr>
          <w:p w14:paraId="7D88FF20"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6B68468C" w14:textId="6265FC32"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Dostęp do platformy zabezpieczony loginem i hasłem. Możliwość logowania z wykorzystaniem Active Directory.</w:t>
            </w:r>
          </w:p>
        </w:tc>
        <w:tc>
          <w:tcPr>
            <w:tcW w:w="944" w:type="pct"/>
          </w:tcPr>
          <w:p w14:paraId="63C4BAF1"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r w:rsidR="003F39D9" w:rsidRPr="00A17E7B" w14:paraId="4C20ED8D" w14:textId="0D44A2B8" w:rsidTr="003F39D9">
        <w:trPr>
          <w:trHeight w:val="600"/>
        </w:trPr>
        <w:tc>
          <w:tcPr>
            <w:tcW w:w="306" w:type="pct"/>
          </w:tcPr>
          <w:p w14:paraId="07F50B15" w14:textId="77777777" w:rsidR="003F39D9" w:rsidRPr="00A17E7B" w:rsidRDefault="003F39D9" w:rsidP="00827561">
            <w:pPr>
              <w:pStyle w:val="Akapitzlist"/>
              <w:numPr>
                <w:ilvl w:val="0"/>
                <w:numId w:val="23"/>
              </w:numPr>
              <w:spacing w:after="0" w:line="240" w:lineRule="auto"/>
              <w:rPr>
                <w:rFonts w:ascii="Calibri" w:eastAsia="Times New Roman" w:hAnsi="Calibri" w:cs="Calibri"/>
                <w:color w:val="000000"/>
                <w:kern w:val="0"/>
                <w:sz w:val="22"/>
                <w:szCs w:val="22"/>
                <w:lang w:eastAsia="pl-PL"/>
                <w14:ligatures w14:val="none"/>
              </w:rPr>
            </w:pPr>
          </w:p>
        </w:tc>
        <w:tc>
          <w:tcPr>
            <w:tcW w:w="3750" w:type="pct"/>
            <w:vAlign w:val="center"/>
            <w:hideMark/>
          </w:tcPr>
          <w:p w14:paraId="0A3C7353" w14:textId="0BB05D39" w:rsidR="003F39D9" w:rsidRPr="00A17E7B" w:rsidRDefault="003F39D9" w:rsidP="003F39D9">
            <w:pPr>
              <w:spacing w:after="0" w:line="240" w:lineRule="auto"/>
              <w:rPr>
                <w:rFonts w:ascii="Calibri" w:eastAsia="Times New Roman" w:hAnsi="Calibri" w:cs="Calibri"/>
                <w:color w:val="000000"/>
                <w:kern w:val="0"/>
                <w:sz w:val="22"/>
                <w:szCs w:val="22"/>
                <w:lang w:eastAsia="pl-PL"/>
                <w14:ligatures w14:val="none"/>
              </w:rPr>
            </w:pPr>
            <w:r w:rsidRPr="00A17E7B">
              <w:rPr>
                <w:rFonts w:ascii="Calibri" w:eastAsia="Times New Roman" w:hAnsi="Calibri" w:cs="Calibri"/>
                <w:color w:val="000000"/>
                <w:kern w:val="0"/>
                <w:sz w:val="22"/>
                <w:szCs w:val="22"/>
                <w:lang w:eastAsia="pl-PL"/>
                <w14:ligatures w14:val="none"/>
              </w:rPr>
              <w:t xml:space="preserve">Możliwość wdrożenia chmurowego. Dane są szyfrowane w stanie spoczynku i w trakcie </w:t>
            </w:r>
            <w:proofErr w:type="spellStart"/>
            <w:r w:rsidRPr="00A17E7B">
              <w:rPr>
                <w:rFonts w:ascii="Calibri" w:eastAsia="Times New Roman" w:hAnsi="Calibri" w:cs="Calibri"/>
                <w:color w:val="000000"/>
                <w:kern w:val="0"/>
                <w:sz w:val="22"/>
                <w:szCs w:val="22"/>
                <w:lang w:eastAsia="pl-PL"/>
                <w14:ligatures w14:val="none"/>
              </w:rPr>
              <w:t>przesyłu</w:t>
            </w:r>
            <w:proofErr w:type="spellEnd"/>
            <w:r w:rsidRPr="00A17E7B">
              <w:rPr>
                <w:rFonts w:ascii="Calibri" w:eastAsia="Times New Roman" w:hAnsi="Calibri" w:cs="Calibri"/>
                <w:color w:val="000000"/>
                <w:kern w:val="0"/>
                <w:sz w:val="22"/>
                <w:szCs w:val="22"/>
                <w:lang w:eastAsia="pl-PL"/>
                <w14:ligatures w14:val="none"/>
              </w:rPr>
              <w:t xml:space="preserve"> oraz przechowywane zgodnie ze standardami HIPAA. Zapewnia ścieżkę przejścia z lokalnego do hostowanego w chmurze.</w:t>
            </w:r>
          </w:p>
        </w:tc>
        <w:tc>
          <w:tcPr>
            <w:tcW w:w="944" w:type="pct"/>
          </w:tcPr>
          <w:p w14:paraId="1D2332C1" w14:textId="77777777" w:rsidR="003F39D9" w:rsidRPr="00A17E7B" w:rsidRDefault="003F39D9" w:rsidP="003F39D9">
            <w:pPr>
              <w:spacing w:after="0" w:line="240" w:lineRule="auto"/>
              <w:jc w:val="center"/>
              <w:rPr>
                <w:rFonts w:ascii="Calibri" w:eastAsia="Times New Roman" w:hAnsi="Calibri" w:cs="Calibri"/>
                <w:color w:val="000000"/>
                <w:kern w:val="0"/>
                <w:sz w:val="22"/>
                <w:szCs w:val="22"/>
                <w:lang w:eastAsia="pl-PL"/>
                <w14:ligatures w14:val="none"/>
              </w:rPr>
            </w:pPr>
          </w:p>
        </w:tc>
      </w:tr>
    </w:tbl>
    <w:p w14:paraId="15F23FA6" w14:textId="77777777" w:rsidR="00827561" w:rsidRDefault="008275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21F5BBFE" w14:textId="6A5EDBA5" w:rsidTr="003F39D9">
        <w:trPr>
          <w:trHeight w:val="315"/>
        </w:trPr>
        <w:tc>
          <w:tcPr>
            <w:tcW w:w="4056" w:type="pct"/>
            <w:gridSpan w:val="2"/>
          </w:tcPr>
          <w:p w14:paraId="758C49BD" w14:textId="10607F86"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Bezpieczeństwo</w:t>
            </w:r>
          </w:p>
        </w:tc>
        <w:tc>
          <w:tcPr>
            <w:tcW w:w="944" w:type="pct"/>
          </w:tcPr>
          <w:p w14:paraId="541D385C" w14:textId="77777777" w:rsidR="003F39D9" w:rsidRPr="00087E31" w:rsidRDefault="003F39D9" w:rsidP="003F39D9">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A17E7B" w14:paraId="20CD32F1" w14:textId="0007FF16" w:rsidTr="003F39D9">
        <w:trPr>
          <w:trHeight w:val="600"/>
        </w:trPr>
        <w:tc>
          <w:tcPr>
            <w:tcW w:w="306" w:type="pct"/>
          </w:tcPr>
          <w:p w14:paraId="734ED441"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B39BB24" w14:textId="011305A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różne poziomy dostępu z możliwością ustawienia praw dostępu dla każde</w:t>
            </w:r>
            <w:r>
              <w:rPr>
                <w:rFonts w:ascii="Calibri" w:eastAsia="Times New Roman" w:hAnsi="Calibri" w:cs="Calibri"/>
                <w:color w:val="000001"/>
                <w:kern w:val="0"/>
                <w:sz w:val="22"/>
                <w:szCs w:val="22"/>
                <w:lang w:eastAsia="pl-PL"/>
                <w14:ligatures w14:val="none"/>
              </w:rPr>
              <w:t>j sali</w:t>
            </w:r>
            <w:r w:rsidRPr="00A17E7B">
              <w:rPr>
                <w:rFonts w:ascii="Calibri" w:eastAsia="Times New Roman" w:hAnsi="Calibri" w:cs="Calibri"/>
                <w:color w:val="000001"/>
                <w:kern w:val="0"/>
                <w:sz w:val="22"/>
                <w:szCs w:val="22"/>
                <w:lang w:eastAsia="pl-PL"/>
                <w14:ligatures w14:val="none"/>
              </w:rPr>
              <w:t>.</w:t>
            </w:r>
          </w:p>
        </w:tc>
        <w:tc>
          <w:tcPr>
            <w:tcW w:w="944" w:type="pct"/>
          </w:tcPr>
          <w:p w14:paraId="4DD1A46A"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79C8FCD" w14:textId="7E9D63E7" w:rsidTr="003F39D9">
        <w:trPr>
          <w:trHeight w:val="600"/>
        </w:trPr>
        <w:tc>
          <w:tcPr>
            <w:tcW w:w="306" w:type="pct"/>
          </w:tcPr>
          <w:p w14:paraId="3838F405"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7B27F986" w14:textId="3231B6A7"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automatyczne zarządzanie użytkownikami, w tym tworzenie, zawieszanie, dezaktywowanie użytkowników i aktualizowanie informacji o użytkownikach.</w:t>
            </w:r>
          </w:p>
        </w:tc>
        <w:tc>
          <w:tcPr>
            <w:tcW w:w="944" w:type="pct"/>
          </w:tcPr>
          <w:p w14:paraId="770E83E2"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2E7166C" w14:textId="02E675C2" w:rsidTr="003F39D9">
        <w:trPr>
          <w:trHeight w:val="1800"/>
        </w:trPr>
        <w:tc>
          <w:tcPr>
            <w:tcW w:w="306" w:type="pct"/>
          </w:tcPr>
          <w:p w14:paraId="2CF67241"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C458AB5" w14:textId="7BF62500"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jest zabezpieczony przed nieautoryzowanym dostępem i wymaga logowania użytkownika. Umożliwiać definiowanie różnych poziomów uprawnień dla różnych użytkowników, co najmniej 3 poziomy: </w:t>
            </w:r>
            <w:r w:rsidRPr="00A17E7B">
              <w:rPr>
                <w:rFonts w:ascii="Calibri" w:eastAsia="Times New Roman" w:hAnsi="Calibri" w:cs="Calibri"/>
                <w:color w:val="000001"/>
                <w:kern w:val="0"/>
                <w:sz w:val="22"/>
                <w:szCs w:val="22"/>
                <w:lang w:eastAsia="pl-PL"/>
                <w14:ligatures w14:val="none"/>
              </w:rPr>
              <w:br/>
              <w:t xml:space="preserve">- pełny dostęp do danych pacjenta, </w:t>
            </w:r>
            <w:r w:rsidRPr="00A17E7B">
              <w:rPr>
                <w:rFonts w:ascii="Calibri" w:eastAsia="Times New Roman" w:hAnsi="Calibri" w:cs="Calibri"/>
                <w:color w:val="000001"/>
                <w:kern w:val="0"/>
                <w:sz w:val="22"/>
                <w:szCs w:val="22"/>
                <w:lang w:eastAsia="pl-PL"/>
                <w14:ligatures w14:val="none"/>
              </w:rPr>
              <w:br/>
              <w:t xml:space="preserve">- dostęp do danych pacjenta w trybie „tylko do odczytu”, </w:t>
            </w:r>
            <w:r w:rsidRPr="00A17E7B">
              <w:rPr>
                <w:rFonts w:ascii="Calibri" w:eastAsia="Times New Roman" w:hAnsi="Calibri" w:cs="Calibri"/>
                <w:color w:val="000001"/>
                <w:kern w:val="0"/>
                <w:sz w:val="22"/>
                <w:szCs w:val="22"/>
                <w:lang w:eastAsia="pl-PL"/>
                <w14:ligatures w14:val="none"/>
              </w:rPr>
              <w:br/>
              <w:t>- brak dostępu do danych pacjenta</w:t>
            </w:r>
          </w:p>
        </w:tc>
        <w:tc>
          <w:tcPr>
            <w:tcW w:w="944" w:type="pct"/>
          </w:tcPr>
          <w:p w14:paraId="5E40424E"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215E4D7" w14:textId="623C9855" w:rsidTr="003F39D9">
        <w:trPr>
          <w:trHeight w:val="900"/>
        </w:trPr>
        <w:tc>
          <w:tcPr>
            <w:tcW w:w="306" w:type="pct"/>
          </w:tcPr>
          <w:p w14:paraId="168F7D0B"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265410D1" w14:textId="0589E7D5"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obsługuje pacjentów, których dane wymagają szczególnej ochrony. W przypadku oznaczenia pacjenta takim statusem, następuje nadpisanie uprawnień użytkowników do przeglądania rekordu, zgodnie z dedykowaną definicją poziomu dostępu do danych pacjentów, objętych szczególną ochroną.</w:t>
            </w:r>
          </w:p>
        </w:tc>
        <w:tc>
          <w:tcPr>
            <w:tcW w:w="944" w:type="pct"/>
          </w:tcPr>
          <w:p w14:paraId="49ACD83C"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F085B3A" w14:textId="06F04A18" w:rsidTr="003F39D9">
        <w:trPr>
          <w:trHeight w:val="600"/>
        </w:trPr>
        <w:tc>
          <w:tcPr>
            <w:tcW w:w="306" w:type="pct"/>
          </w:tcPr>
          <w:p w14:paraId="7DAABD84"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1CF8C773" w14:textId="5962FE61"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wykorzystuje listy zaufanych domen (lista konfigurowalna przez użytkownika) uniemożliwiając dostęp kontrolerem domeny spoza listy.</w:t>
            </w:r>
          </w:p>
        </w:tc>
        <w:tc>
          <w:tcPr>
            <w:tcW w:w="944" w:type="pct"/>
          </w:tcPr>
          <w:p w14:paraId="4B573B75"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7E43BF18" w14:textId="6C90CEF1" w:rsidTr="003F39D9">
        <w:trPr>
          <w:trHeight w:val="600"/>
        </w:trPr>
        <w:tc>
          <w:tcPr>
            <w:tcW w:w="306" w:type="pct"/>
          </w:tcPr>
          <w:p w14:paraId="0F6B1B79"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4EA07F62" w14:textId="0BB8B3D3"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Systemie wykorzystuje model dostępu opartego na rolach w celu zarządzania dostępem użytkowników do danych pacjenta. Poziom </w:t>
            </w:r>
            <w:r w:rsidRPr="00A17E7B">
              <w:rPr>
                <w:rFonts w:ascii="Calibri" w:eastAsia="Times New Roman" w:hAnsi="Calibri" w:cs="Calibri"/>
                <w:kern w:val="0"/>
                <w:sz w:val="22"/>
                <w:szCs w:val="22"/>
                <w:lang w:eastAsia="pl-PL"/>
                <w14:ligatures w14:val="none"/>
              </w:rPr>
              <w:lastRenderedPageBreak/>
              <w:t xml:space="preserve">uprawnień użytkownika wynika z przyznaj roli. </w:t>
            </w:r>
          </w:p>
        </w:tc>
        <w:tc>
          <w:tcPr>
            <w:tcW w:w="944" w:type="pct"/>
          </w:tcPr>
          <w:p w14:paraId="0A5FF2C8"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0F125D73" w14:textId="1DF1A69E" w:rsidTr="003F39D9">
        <w:trPr>
          <w:trHeight w:val="600"/>
        </w:trPr>
        <w:tc>
          <w:tcPr>
            <w:tcW w:w="306" w:type="pct"/>
          </w:tcPr>
          <w:p w14:paraId="5A0A7E1C"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0806FC86" w14:textId="1B09979F"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umożliwia użytkownikowi posiadającemu wiele ról wybór bieżącej roli przed zalogowaniem się do systemu.</w:t>
            </w:r>
          </w:p>
        </w:tc>
        <w:tc>
          <w:tcPr>
            <w:tcW w:w="944" w:type="pct"/>
          </w:tcPr>
          <w:p w14:paraId="5A91CB92"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2F4D72B9" w14:textId="263B8784" w:rsidTr="003F39D9">
        <w:trPr>
          <w:trHeight w:val="300"/>
        </w:trPr>
        <w:tc>
          <w:tcPr>
            <w:tcW w:w="306" w:type="pct"/>
          </w:tcPr>
          <w:p w14:paraId="6D579718"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E97C42B" w14:textId="5F94DFB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Istnieje możliwość zdefiniowania ról, które mogą być współdzielone przez wielu użytkowników.</w:t>
            </w:r>
          </w:p>
        </w:tc>
        <w:tc>
          <w:tcPr>
            <w:tcW w:w="944" w:type="pct"/>
          </w:tcPr>
          <w:p w14:paraId="54CAA6D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D0F6D1C" w14:textId="7D70A3A2" w:rsidTr="003F39D9">
        <w:trPr>
          <w:trHeight w:val="1365"/>
        </w:trPr>
        <w:tc>
          <w:tcPr>
            <w:tcW w:w="306" w:type="pct"/>
          </w:tcPr>
          <w:p w14:paraId="102E02C5"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4936F986" w14:textId="512BB8F6"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 </w:t>
            </w:r>
            <w:r>
              <w:rPr>
                <w:rFonts w:ascii="Calibri" w:eastAsia="Times New Roman" w:hAnsi="Calibri" w:cs="Calibri"/>
                <w:kern w:val="0"/>
                <w:sz w:val="22"/>
                <w:szCs w:val="22"/>
                <w:lang w:eastAsia="pl-PL"/>
                <w14:ligatures w14:val="none"/>
              </w:rPr>
              <w:t xml:space="preserve">zapewnia </w:t>
            </w:r>
            <w:r w:rsidRPr="00A17E7B">
              <w:rPr>
                <w:rFonts w:ascii="Calibri" w:eastAsia="Times New Roman" w:hAnsi="Calibri" w:cs="Calibri"/>
                <w:kern w:val="0"/>
                <w:sz w:val="22"/>
                <w:szCs w:val="22"/>
                <w:lang w:eastAsia="pl-PL"/>
                <w14:ligatures w14:val="none"/>
              </w:rPr>
              <w:t>wykorzyst</w:t>
            </w:r>
            <w:r>
              <w:rPr>
                <w:rFonts w:ascii="Calibri" w:eastAsia="Times New Roman" w:hAnsi="Calibri" w:cs="Calibri"/>
                <w:kern w:val="0"/>
                <w:sz w:val="22"/>
                <w:szCs w:val="22"/>
                <w:lang w:eastAsia="pl-PL"/>
                <w14:ligatures w14:val="none"/>
              </w:rPr>
              <w:t xml:space="preserve">anie </w:t>
            </w:r>
            <w:r w:rsidRPr="00A17E7B">
              <w:rPr>
                <w:rFonts w:ascii="Calibri" w:eastAsia="Times New Roman" w:hAnsi="Calibri" w:cs="Calibri"/>
                <w:kern w:val="0"/>
                <w:sz w:val="22"/>
                <w:szCs w:val="22"/>
                <w:lang w:eastAsia="pl-PL"/>
                <w14:ligatures w14:val="none"/>
              </w:rPr>
              <w:t>scentralizowan</w:t>
            </w:r>
            <w:r>
              <w:rPr>
                <w:rFonts w:ascii="Calibri" w:eastAsia="Times New Roman" w:hAnsi="Calibri" w:cs="Calibri"/>
                <w:kern w:val="0"/>
                <w:sz w:val="22"/>
                <w:szCs w:val="22"/>
                <w:lang w:eastAsia="pl-PL"/>
                <w14:ligatures w14:val="none"/>
              </w:rPr>
              <w:t xml:space="preserve">ego </w:t>
            </w:r>
            <w:r w:rsidRPr="00A17E7B">
              <w:rPr>
                <w:rFonts w:ascii="Calibri" w:eastAsia="Times New Roman" w:hAnsi="Calibri" w:cs="Calibri"/>
                <w:kern w:val="0"/>
                <w:sz w:val="22"/>
                <w:szCs w:val="22"/>
                <w:lang w:eastAsia="pl-PL"/>
                <w14:ligatures w14:val="none"/>
              </w:rPr>
              <w:t xml:space="preserve">serwer autoryzacji jako jedyne źródło uwierzytelniania. Proces uwierzytelniania w celu identyfikacji użytkownika odbywa się w bezpieczny sposób za pośrednictwem protokołu HTTPS. System weryfikuje tożsamość użytkownika w różnych sytuacjach, takich jak logowanie i wylogowanie użytkownika, odświeżanie </w:t>
            </w:r>
            <w:proofErr w:type="spellStart"/>
            <w:r w:rsidRPr="00A17E7B">
              <w:rPr>
                <w:rFonts w:ascii="Calibri" w:eastAsia="Times New Roman" w:hAnsi="Calibri" w:cs="Calibri"/>
                <w:kern w:val="0"/>
                <w:sz w:val="22"/>
                <w:szCs w:val="22"/>
                <w:lang w:eastAsia="pl-PL"/>
                <w14:ligatures w14:val="none"/>
              </w:rPr>
              <w:t>tokena</w:t>
            </w:r>
            <w:proofErr w:type="spellEnd"/>
            <w:r w:rsidRPr="00A17E7B">
              <w:rPr>
                <w:rFonts w:ascii="Calibri" w:eastAsia="Times New Roman" w:hAnsi="Calibri" w:cs="Calibri"/>
                <w:kern w:val="0"/>
                <w:sz w:val="22"/>
                <w:szCs w:val="22"/>
                <w:lang w:eastAsia="pl-PL"/>
                <w14:ligatures w14:val="none"/>
              </w:rPr>
              <w:t>, działanie związane ze wspólnym podpisywaniem/ponownym podpisywaniem dokumentacji medycznej w systemie oraz w komunikacji z systemami zewnętrznymi.</w:t>
            </w:r>
          </w:p>
        </w:tc>
        <w:tc>
          <w:tcPr>
            <w:tcW w:w="944" w:type="pct"/>
          </w:tcPr>
          <w:p w14:paraId="654269E5"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3FD2D34E" w14:textId="3FE573B2" w:rsidTr="003F39D9">
        <w:trPr>
          <w:trHeight w:val="1170"/>
        </w:trPr>
        <w:tc>
          <w:tcPr>
            <w:tcW w:w="306" w:type="pct"/>
          </w:tcPr>
          <w:p w14:paraId="668069A9"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33D9A670" w14:textId="386D1E0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Pr>
                <w:rFonts w:ascii="Calibri" w:eastAsia="Times New Roman" w:hAnsi="Calibri" w:cs="Calibri"/>
                <w:color w:val="000001"/>
                <w:kern w:val="0"/>
                <w:sz w:val="22"/>
                <w:szCs w:val="22"/>
                <w:lang w:eastAsia="pl-PL"/>
                <w14:ligatures w14:val="none"/>
              </w:rPr>
              <w:t>S</w:t>
            </w:r>
            <w:r w:rsidRPr="00A17E7B">
              <w:rPr>
                <w:rFonts w:ascii="Calibri" w:eastAsia="Times New Roman" w:hAnsi="Calibri" w:cs="Calibri"/>
                <w:color w:val="000001"/>
                <w:kern w:val="0"/>
                <w:sz w:val="22"/>
                <w:szCs w:val="22"/>
                <w:lang w:eastAsia="pl-PL"/>
                <w14:ligatures w14:val="none"/>
              </w:rPr>
              <w:t>ystem automatycznie synchronizuje informacje o użytkowniku, w tym dane użytkownika i role, tworząc użytkownika z otrzymanymi rolami, jeśli użytkownik nie zostanie znaleziony, lub aktualizując dane użytkownika, a także synchronizując role, jeśli użytkownik zostanie znaleziony.</w:t>
            </w:r>
          </w:p>
        </w:tc>
        <w:tc>
          <w:tcPr>
            <w:tcW w:w="944" w:type="pct"/>
          </w:tcPr>
          <w:p w14:paraId="60945704"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7DA8E400" w14:textId="25CE50DF" w:rsidTr="003F39D9">
        <w:trPr>
          <w:trHeight w:val="570"/>
        </w:trPr>
        <w:tc>
          <w:tcPr>
            <w:tcW w:w="306" w:type="pct"/>
          </w:tcPr>
          <w:p w14:paraId="0BFAD325"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6E383728" w14:textId="6648A550"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System obsługuje pojedynczą (identyczną) konfigurację dla wszystkich środowisk rozproszonych.</w:t>
            </w:r>
          </w:p>
        </w:tc>
        <w:tc>
          <w:tcPr>
            <w:tcW w:w="944" w:type="pct"/>
          </w:tcPr>
          <w:p w14:paraId="770153E0"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53635923" w14:textId="08FBA28D" w:rsidTr="003F39D9">
        <w:trPr>
          <w:trHeight w:val="1200"/>
        </w:trPr>
        <w:tc>
          <w:tcPr>
            <w:tcW w:w="306" w:type="pct"/>
          </w:tcPr>
          <w:p w14:paraId="28EC17D9"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533FD88C" w14:textId="3082E731"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zapewnia scentralizowane środowisko testowe i dystrybucyjne, dzięki czemu eliminuje potrzebę oddzielnej konfiguracji każdej bazy danych. Konfiguracje, w tym konfiguracje szkoleniowych, testowych i produkcyjnych baz danych, są wykonywane w środowisku testowym z automatycznym wdrażaniem od środowiska testowego do tych środowisk.</w:t>
            </w:r>
          </w:p>
        </w:tc>
        <w:tc>
          <w:tcPr>
            <w:tcW w:w="944" w:type="pct"/>
          </w:tcPr>
          <w:p w14:paraId="3897BD8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B4A8F5E" w14:textId="55D5E432" w:rsidTr="003F39D9">
        <w:trPr>
          <w:trHeight w:val="600"/>
        </w:trPr>
        <w:tc>
          <w:tcPr>
            <w:tcW w:w="306" w:type="pct"/>
          </w:tcPr>
          <w:p w14:paraId="4E2B0A60"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396CD31" w14:textId="26E22ED3"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zawiera główną bazę danych, która obsługuje scentralizowaną konfigurację, zapewniając spójność i wydajność w zarządzaniu systemem.</w:t>
            </w:r>
          </w:p>
        </w:tc>
        <w:tc>
          <w:tcPr>
            <w:tcW w:w="944" w:type="pct"/>
          </w:tcPr>
          <w:p w14:paraId="09A02650"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4BAD0B70" w14:textId="5FEA7DDD" w:rsidTr="003F39D9">
        <w:trPr>
          <w:trHeight w:val="600"/>
        </w:trPr>
        <w:tc>
          <w:tcPr>
            <w:tcW w:w="306" w:type="pct"/>
          </w:tcPr>
          <w:p w14:paraId="1C7DB482"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066AD654" w14:textId="4D26581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obejmuje produkcyjną bazę danych do przechowywania danych pacjenta.</w:t>
            </w:r>
          </w:p>
        </w:tc>
        <w:tc>
          <w:tcPr>
            <w:tcW w:w="944" w:type="pct"/>
          </w:tcPr>
          <w:p w14:paraId="41EB66F8"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3CBF6046" w14:textId="7EDA1035" w:rsidTr="003F39D9">
        <w:trPr>
          <w:trHeight w:val="600"/>
        </w:trPr>
        <w:tc>
          <w:tcPr>
            <w:tcW w:w="306" w:type="pct"/>
          </w:tcPr>
          <w:p w14:paraId="353475B6"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489CA6FF" w14:textId="3D60A399"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umożliwia konfigurowanie uprawnień, układów i innych elementów na poziomie jednostki szpitalnej, zapewniając elastyczność dostosowaną do potrzeb każde</w:t>
            </w:r>
            <w:r>
              <w:rPr>
                <w:rFonts w:ascii="Calibri" w:eastAsia="Times New Roman" w:hAnsi="Calibri" w:cs="Calibri"/>
                <w:color w:val="000001"/>
                <w:kern w:val="0"/>
                <w:sz w:val="22"/>
                <w:szCs w:val="22"/>
                <w:lang w:eastAsia="pl-PL"/>
                <w14:ligatures w14:val="none"/>
              </w:rPr>
              <w:t>j sali</w:t>
            </w:r>
            <w:r w:rsidRPr="00A17E7B">
              <w:rPr>
                <w:rFonts w:ascii="Calibri" w:eastAsia="Times New Roman" w:hAnsi="Calibri" w:cs="Calibri"/>
                <w:color w:val="000001"/>
                <w:kern w:val="0"/>
                <w:sz w:val="22"/>
                <w:szCs w:val="22"/>
                <w:lang w:eastAsia="pl-PL"/>
                <w14:ligatures w14:val="none"/>
              </w:rPr>
              <w:t>.</w:t>
            </w:r>
          </w:p>
        </w:tc>
        <w:tc>
          <w:tcPr>
            <w:tcW w:w="944" w:type="pct"/>
          </w:tcPr>
          <w:p w14:paraId="0EACB27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675BA0B" w14:textId="1247911E" w:rsidTr="003F39D9">
        <w:trPr>
          <w:trHeight w:val="1800"/>
        </w:trPr>
        <w:tc>
          <w:tcPr>
            <w:tcW w:w="306" w:type="pct"/>
          </w:tcPr>
          <w:p w14:paraId="3635281A"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4DD3CE4" w14:textId="3F70F67B"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nie nakłada żadnych ograniczeń na przechowywanie danych. Ilość przestrzeni dyskowej wykorzystywanej przez system zależy przede wszystkim od liczby i rodzaju obsługiwanych stanowisk pacjenta. Ponadto system obsługuje opcjonalną technikę </w:t>
            </w:r>
            <w:proofErr w:type="spellStart"/>
            <w:r w:rsidRPr="00A17E7B">
              <w:rPr>
                <w:rFonts w:ascii="Calibri" w:eastAsia="Times New Roman" w:hAnsi="Calibri" w:cs="Calibri"/>
                <w:color w:val="000001"/>
                <w:kern w:val="0"/>
                <w:sz w:val="22"/>
                <w:szCs w:val="22"/>
                <w:lang w:eastAsia="pl-PL"/>
                <w14:ligatures w14:val="none"/>
              </w:rPr>
              <w:t>kompaktowania</w:t>
            </w:r>
            <w:proofErr w:type="spellEnd"/>
            <w:r w:rsidRPr="00A17E7B">
              <w:rPr>
                <w:rFonts w:ascii="Calibri" w:eastAsia="Times New Roman" w:hAnsi="Calibri" w:cs="Calibri"/>
                <w:color w:val="000001"/>
                <w:kern w:val="0"/>
                <w:sz w:val="22"/>
                <w:szCs w:val="22"/>
                <w:lang w:eastAsia="pl-PL"/>
                <w14:ligatures w14:val="none"/>
              </w:rPr>
              <w:t xml:space="preserve"> zarchiwizowanych kartotek pacjentów, w której niezweryfikowane dane są odrzucane. </w:t>
            </w:r>
          </w:p>
        </w:tc>
        <w:tc>
          <w:tcPr>
            <w:tcW w:w="944" w:type="pct"/>
          </w:tcPr>
          <w:p w14:paraId="5E96F879"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52E7B728" w14:textId="60C72C39" w:rsidTr="003F39D9">
        <w:trPr>
          <w:trHeight w:val="1800"/>
        </w:trPr>
        <w:tc>
          <w:tcPr>
            <w:tcW w:w="306" w:type="pct"/>
          </w:tcPr>
          <w:p w14:paraId="1352A71E"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6D6EE8D9" w14:textId="30504ACF"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System ułatwia podział długoterminowego przechowywania danych na oddzielne bazy danych i urządzenia pamięci masowej, aby skrócić czas i wysiłek związany z konserwacją. Na przykład archiwum pasywne zawierające rekordy pacjentów z poprzednich lat może być archiwizowane rzadziej (np. jednorazowo), w przeciwieństwie do archiwum produkcyjnego i aktywnego, które wymagają codziennego tworzenia kopii zapasowych. To modułowe podejście pozwala na sprawne zarządzanie i optymalizację zasobów przechowywania danych.</w:t>
            </w:r>
          </w:p>
        </w:tc>
        <w:tc>
          <w:tcPr>
            <w:tcW w:w="944" w:type="pct"/>
          </w:tcPr>
          <w:p w14:paraId="53F8609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6E9D45BC" w14:textId="7A9F8C66" w:rsidTr="003F39D9">
        <w:trPr>
          <w:trHeight w:val="600"/>
        </w:trPr>
        <w:tc>
          <w:tcPr>
            <w:tcW w:w="306" w:type="pct"/>
          </w:tcPr>
          <w:p w14:paraId="479D618E" w14:textId="77777777" w:rsidR="003F39D9" w:rsidRPr="00A17E7B" w:rsidRDefault="003F39D9" w:rsidP="00827561">
            <w:pPr>
              <w:pStyle w:val="Akapitzlist"/>
              <w:numPr>
                <w:ilvl w:val="0"/>
                <w:numId w:val="24"/>
              </w:numPr>
              <w:spacing w:after="0" w:line="240" w:lineRule="auto"/>
              <w:rPr>
                <w:rFonts w:ascii="Calibri" w:eastAsia="Times New Roman" w:hAnsi="Calibri" w:cs="Calibri"/>
                <w:color w:val="000001"/>
                <w:kern w:val="0"/>
                <w:sz w:val="22"/>
                <w:szCs w:val="22"/>
                <w:lang w:eastAsia="pl-PL"/>
                <w14:ligatures w14:val="none"/>
              </w:rPr>
            </w:pPr>
          </w:p>
        </w:tc>
        <w:tc>
          <w:tcPr>
            <w:tcW w:w="3750" w:type="pct"/>
            <w:vAlign w:val="center"/>
            <w:hideMark/>
          </w:tcPr>
          <w:p w14:paraId="1E6A49C8" w14:textId="64E1DB0D" w:rsidR="003F39D9" w:rsidRPr="00A17E7B" w:rsidRDefault="003F39D9" w:rsidP="003F39D9">
            <w:pPr>
              <w:spacing w:after="0" w:line="240" w:lineRule="auto"/>
              <w:rPr>
                <w:rFonts w:ascii="Calibri" w:eastAsia="Times New Roman" w:hAnsi="Calibri" w:cs="Calibri"/>
                <w:color w:val="000001"/>
                <w:kern w:val="0"/>
                <w:sz w:val="22"/>
                <w:szCs w:val="22"/>
                <w:lang w:eastAsia="pl-PL"/>
                <w14:ligatures w14:val="none"/>
              </w:rPr>
            </w:pPr>
            <w:r w:rsidRPr="00A17E7B">
              <w:rPr>
                <w:rFonts w:ascii="Calibri" w:eastAsia="Times New Roman" w:hAnsi="Calibri" w:cs="Calibri"/>
                <w:color w:val="000001"/>
                <w:kern w:val="0"/>
                <w:sz w:val="22"/>
                <w:szCs w:val="22"/>
                <w:lang w:eastAsia="pl-PL"/>
                <w14:ligatures w14:val="none"/>
              </w:rPr>
              <w:t xml:space="preserve">System jest wyposażony w funkcję proaktywnego monitorowania i oceny stanu systemu, zapewniając wczesne wykrywanie i ostrzeganie o </w:t>
            </w:r>
            <w:r w:rsidRPr="00A17E7B">
              <w:rPr>
                <w:rFonts w:ascii="Calibri" w:eastAsia="Times New Roman" w:hAnsi="Calibri" w:cs="Calibri"/>
                <w:color w:val="000001"/>
                <w:kern w:val="0"/>
                <w:sz w:val="22"/>
                <w:szCs w:val="22"/>
                <w:lang w:eastAsia="pl-PL"/>
                <w14:ligatures w14:val="none"/>
              </w:rPr>
              <w:lastRenderedPageBreak/>
              <w:t>potencjalnych problemach.</w:t>
            </w:r>
          </w:p>
        </w:tc>
        <w:tc>
          <w:tcPr>
            <w:tcW w:w="944" w:type="pct"/>
          </w:tcPr>
          <w:p w14:paraId="55DA20AF" w14:textId="77777777" w:rsidR="003F39D9" w:rsidRPr="00A17E7B" w:rsidRDefault="003F39D9" w:rsidP="003F39D9">
            <w:pPr>
              <w:spacing w:after="0" w:line="240" w:lineRule="auto"/>
              <w:jc w:val="center"/>
              <w:rPr>
                <w:rFonts w:ascii="Calibri" w:eastAsia="Times New Roman" w:hAnsi="Calibri" w:cs="Calibri"/>
                <w:color w:val="000001"/>
                <w:kern w:val="0"/>
                <w:sz w:val="22"/>
                <w:szCs w:val="22"/>
                <w:lang w:eastAsia="pl-PL"/>
                <w14:ligatures w14:val="none"/>
              </w:rPr>
            </w:pPr>
          </w:p>
        </w:tc>
      </w:tr>
      <w:tr w:rsidR="003F39D9" w:rsidRPr="00A17E7B" w14:paraId="0487FA95" w14:textId="2C24CEB0" w:rsidTr="003F39D9">
        <w:trPr>
          <w:trHeight w:val="900"/>
        </w:trPr>
        <w:tc>
          <w:tcPr>
            <w:tcW w:w="306" w:type="pct"/>
          </w:tcPr>
          <w:p w14:paraId="536BD830"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22893376" w14:textId="7BB46AA3"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 wpiera zaszyfrowane logi oraz ich centralizację przy użyciu dedykowanych narzędzi (np. </w:t>
            </w:r>
            <w:proofErr w:type="spellStart"/>
            <w:r w:rsidRPr="00A17E7B">
              <w:rPr>
                <w:rFonts w:ascii="Calibri" w:eastAsia="Times New Roman" w:hAnsi="Calibri" w:cs="Calibri"/>
                <w:kern w:val="0"/>
                <w:sz w:val="22"/>
                <w:szCs w:val="22"/>
                <w:lang w:eastAsia="pl-PL"/>
                <w14:ligatures w14:val="none"/>
              </w:rPr>
              <w:t>Elastic</w:t>
            </w:r>
            <w:proofErr w:type="spellEnd"/>
            <w:r w:rsidRPr="00A17E7B">
              <w:rPr>
                <w:rFonts w:ascii="Calibri" w:eastAsia="Times New Roman" w:hAnsi="Calibri" w:cs="Calibri"/>
                <w:kern w:val="0"/>
                <w:sz w:val="22"/>
                <w:szCs w:val="22"/>
                <w:lang w:eastAsia="pl-PL"/>
                <w14:ligatures w14:val="none"/>
              </w:rPr>
              <w:t xml:space="preserve"> </w:t>
            </w:r>
            <w:proofErr w:type="spellStart"/>
            <w:r w:rsidRPr="00A17E7B">
              <w:rPr>
                <w:rFonts w:ascii="Calibri" w:eastAsia="Times New Roman" w:hAnsi="Calibri" w:cs="Calibri"/>
                <w:kern w:val="0"/>
                <w:sz w:val="22"/>
                <w:szCs w:val="22"/>
                <w:lang w:eastAsia="pl-PL"/>
                <w14:ligatures w14:val="none"/>
              </w:rPr>
              <w:t>Stack</w:t>
            </w:r>
            <w:proofErr w:type="spellEnd"/>
            <w:r w:rsidRPr="00A17E7B">
              <w:rPr>
                <w:rFonts w:ascii="Calibri" w:eastAsia="Times New Roman" w:hAnsi="Calibri" w:cs="Calibri"/>
                <w:kern w:val="0"/>
                <w:sz w:val="22"/>
                <w:szCs w:val="22"/>
                <w:lang w:eastAsia="pl-PL"/>
                <w14:ligatures w14:val="none"/>
              </w:rPr>
              <w:t>) w celu zapewnienie bezpiecznego przechowywania, transmisji i analizy danych zawartych w plikach logów na potrzeby monitorowania oraz rozwiązywania problemów.</w:t>
            </w:r>
          </w:p>
        </w:tc>
        <w:tc>
          <w:tcPr>
            <w:tcW w:w="944" w:type="pct"/>
          </w:tcPr>
          <w:p w14:paraId="1B1A0C1C"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A17E7B" w14:paraId="1FBBDDD3" w14:textId="514F3D4D" w:rsidTr="003F39D9">
        <w:trPr>
          <w:trHeight w:val="900"/>
        </w:trPr>
        <w:tc>
          <w:tcPr>
            <w:tcW w:w="306" w:type="pct"/>
          </w:tcPr>
          <w:p w14:paraId="33E92CA7"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6FA4C8E5" w14:textId="6B5195B5" w:rsidR="003F39D9" w:rsidRPr="00A17E7B" w:rsidRDefault="003F39D9" w:rsidP="003F39D9">
            <w:pPr>
              <w:spacing w:after="0" w:line="240" w:lineRule="auto"/>
              <w:rPr>
                <w:rFonts w:ascii="Calibri" w:eastAsia="Times New Roman" w:hAnsi="Calibri" w:cs="Calibri"/>
                <w:kern w:val="0"/>
                <w:sz w:val="22"/>
                <w:szCs w:val="22"/>
                <w:lang w:eastAsia="pl-PL"/>
                <w14:ligatures w14:val="none"/>
              </w:rPr>
            </w:pPr>
            <w:r w:rsidRPr="00A17E7B">
              <w:rPr>
                <w:rFonts w:ascii="Calibri" w:eastAsia="Times New Roman" w:hAnsi="Calibri" w:cs="Calibri"/>
                <w:kern w:val="0"/>
                <w:sz w:val="22"/>
                <w:szCs w:val="22"/>
                <w:lang w:eastAsia="pl-PL"/>
                <w14:ligatures w14:val="none"/>
              </w:rPr>
              <w:t xml:space="preserve">System posiada wbudowane wsparcie dla technologii strumieniowania aplikacji, takich jak </w:t>
            </w:r>
            <w:proofErr w:type="spellStart"/>
            <w:r w:rsidRPr="00A17E7B">
              <w:rPr>
                <w:rFonts w:ascii="Calibri" w:eastAsia="Times New Roman" w:hAnsi="Calibri" w:cs="Calibri"/>
                <w:kern w:val="0"/>
                <w:sz w:val="22"/>
                <w:szCs w:val="22"/>
                <w:lang w:eastAsia="pl-PL"/>
                <w14:ligatures w14:val="none"/>
              </w:rPr>
              <w:t>Citrix</w:t>
            </w:r>
            <w:proofErr w:type="spellEnd"/>
            <w:r w:rsidRPr="00A17E7B">
              <w:rPr>
                <w:rFonts w:ascii="Calibri" w:eastAsia="Times New Roman" w:hAnsi="Calibri" w:cs="Calibri"/>
                <w:kern w:val="0"/>
                <w:sz w:val="22"/>
                <w:szCs w:val="22"/>
                <w:lang w:eastAsia="pl-PL"/>
                <w14:ligatures w14:val="none"/>
              </w:rPr>
              <w:t xml:space="preserve"> </w:t>
            </w:r>
            <w:proofErr w:type="spellStart"/>
            <w:r w:rsidRPr="00A17E7B">
              <w:rPr>
                <w:rFonts w:ascii="Calibri" w:eastAsia="Times New Roman" w:hAnsi="Calibri" w:cs="Calibri"/>
                <w:kern w:val="0"/>
                <w:sz w:val="22"/>
                <w:szCs w:val="22"/>
                <w:lang w:eastAsia="pl-PL"/>
                <w14:ligatures w14:val="none"/>
              </w:rPr>
              <w:t>XenApp</w:t>
            </w:r>
            <w:proofErr w:type="spellEnd"/>
            <w:r w:rsidRPr="00A17E7B">
              <w:rPr>
                <w:rFonts w:ascii="Calibri" w:eastAsia="Times New Roman" w:hAnsi="Calibri" w:cs="Calibri"/>
                <w:kern w:val="0"/>
                <w:sz w:val="22"/>
                <w:szCs w:val="22"/>
                <w:lang w:eastAsia="pl-PL"/>
                <w14:ligatures w14:val="none"/>
              </w:rPr>
              <w:t xml:space="preserve"> i MS </w:t>
            </w:r>
            <w:proofErr w:type="spellStart"/>
            <w:r w:rsidRPr="00A17E7B">
              <w:rPr>
                <w:rFonts w:ascii="Calibri" w:eastAsia="Times New Roman" w:hAnsi="Calibri" w:cs="Calibri"/>
                <w:kern w:val="0"/>
                <w:sz w:val="22"/>
                <w:szCs w:val="22"/>
                <w:lang w:eastAsia="pl-PL"/>
                <w14:ligatures w14:val="none"/>
              </w:rPr>
              <w:t>RemoteApps</w:t>
            </w:r>
            <w:proofErr w:type="spellEnd"/>
            <w:r w:rsidRPr="00A17E7B">
              <w:rPr>
                <w:rFonts w:ascii="Calibri" w:eastAsia="Times New Roman" w:hAnsi="Calibri" w:cs="Calibri"/>
                <w:kern w:val="0"/>
                <w:sz w:val="22"/>
                <w:szCs w:val="22"/>
                <w:lang w:eastAsia="pl-PL"/>
                <w14:ligatures w14:val="none"/>
              </w:rPr>
              <w:t>, umożliwiając użytkownikom dostęp do systemu CIS za pośrednictwem tych platform strumieniowania</w:t>
            </w:r>
          </w:p>
        </w:tc>
        <w:tc>
          <w:tcPr>
            <w:tcW w:w="944" w:type="pct"/>
          </w:tcPr>
          <w:p w14:paraId="67EF967A" w14:textId="77777777" w:rsidR="003F39D9" w:rsidRPr="00A17E7B"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902E0F" w14:paraId="0DB09649" w14:textId="6D6CA88D" w:rsidTr="003F39D9">
        <w:trPr>
          <w:trHeight w:val="1500"/>
        </w:trPr>
        <w:tc>
          <w:tcPr>
            <w:tcW w:w="306" w:type="pct"/>
          </w:tcPr>
          <w:p w14:paraId="502E55DE" w14:textId="77777777" w:rsidR="003F39D9" w:rsidRPr="00A17E7B" w:rsidRDefault="003F39D9" w:rsidP="00827561">
            <w:pPr>
              <w:pStyle w:val="Akapitzlist"/>
              <w:numPr>
                <w:ilvl w:val="0"/>
                <w:numId w:val="24"/>
              </w:numPr>
              <w:spacing w:after="0" w:line="240" w:lineRule="auto"/>
              <w:rPr>
                <w:rFonts w:ascii="Calibri" w:eastAsia="Times New Roman" w:hAnsi="Calibri" w:cs="Calibri"/>
                <w:kern w:val="0"/>
                <w:sz w:val="22"/>
                <w:szCs w:val="22"/>
                <w:lang w:eastAsia="pl-PL"/>
                <w14:ligatures w14:val="none"/>
              </w:rPr>
            </w:pPr>
          </w:p>
        </w:tc>
        <w:tc>
          <w:tcPr>
            <w:tcW w:w="3750" w:type="pct"/>
            <w:vAlign w:val="center"/>
            <w:hideMark/>
          </w:tcPr>
          <w:p w14:paraId="05399909" w14:textId="1362CBBA" w:rsidR="003F39D9" w:rsidRPr="00684CC9" w:rsidRDefault="003F39D9" w:rsidP="003F39D9">
            <w:pPr>
              <w:spacing w:after="0" w:line="240" w:lineRule="auto"/>
              <w:rPr>
                <w:rFonts w:ascii="Calibri" w:eastAsia="Times New Roman" w:hAnsi="Calibri" w:cs="Calibri"/>
                <w:kern w:val="0"/>
                <w:sz w:val="22"/>
                <w:szCs w:val="22"/>
                <w:lang w:eastAsia="pl-PL"/>
                <w14:ligatures w14:val="none"/>
              </w:rPr>
            </w:pPr>
            <w:r w:rsidRPr="00684CC9">
              <w:rPr>
                <w:rFonts w:ascii="Calibri" w:eastAsia="Times New Roman" w:hAnsi="Calibri" w:cs="Calibri"/>
                <w:kern w:val="0"/>
                <w:sz w:val="22"/>
                <w:szCs w:val="22"/>
                <w:lang w:eastAsia="pl-PL"/>
                <w14:ligatures w14:val="none"/>
              </w:rPr>
              <w:t>Rozwiązanie zapewniające automatyczne i bieżące tworzenie kopii zapasowej i awaryjny dostęp do danych pacjentów w przypadku awarii sieci lub serwera, m.in. podanych leków, zleceń, wyników badań laboratoryjnych.</w:t>
            </w:r>
            <w:r w:rsidRPr="00684CC9">
              <w:rPr>
                <w:rFonts w:ascii="Calibri" w:eastAsia="Times New Roman" w:hAnsi="Calibri" w:cs="Calibri"/>
                <w:kern w:val="0"/>
                <w:sz w:val="22"/>
                <w:szCs w:val="22"/>
                <w:lang w:eastAsia="pl-PL"/>
                <w14:ligatures w14:val="none"/>
              </w:rPr>
              <w:br/>
              <w:t xml:space="preserve">Dostęp do danych w trybie „tylko do odczytu” z możliwością drukowania na lokalnej drukarce. </w:t>
            </w:r>
            <w:r w:rsidRPr="00684CC9">
              <w:rPr>
                <w:rFonts w:ascii="Calibri" w:eastAsia="Times New Roman" w:hAnsi="Calibri" w:cs="Calibri"/>
                <w:kern w:val="0"/>
                <w:sz w:val="22"/>
                <w:szCs w:val="22"/>
                <w:lang w:eastAsia="pl-PL"/>
                <w14:ligatures w14:val="none"/>
              </w:rPr>
              <w:br/>
              <w:t>Dostęp do danych realizowany z poziomu co najmniej jednej stacji roboczej.</w:t>
            </w:r>
          </w:p>
        </w:tc>
        <w:tc>
          <w:tcPr>
            <w:tcW w:w="944" w:type="pct"/>
          </w:tcPr>
          <w:p w14:paraId="7C8B0814" w14:textId="77777777" w:rsidR="003F39D9" w:rsidRPr="00684CC9" w:rsidRDefault="003F39D9" w:rsidP="003F39D9">
            <w:pPr>
              <w:spacing w:after="0" w:line="240" w:lineRule="auto"/>
              <w:jc w:val="center"/>
              <w:rPr>
                <w:rFonts w:ascii="Calibri" w:eastAsia="Times New Roman" w:hAnsi="Calibri" w:cs="Calibri"/>
                <w:kern w:val="0"/>
                <w:sz w:val="22"/>
                <w:szCs w:val="22"/>
                <w:lang w:eastAsia="pl-PL"/>
                <w14:ligatures w14:val="none"/>
              </w:rPr>
            </w:pPr>
          </w:p>
        </w:tc>
      </w:tr>
    </w:tbl>
    <w:p w14:paraId="098083D2" w14:textId="77777777" w:rsidR="00827561" w:rsidRDefault="008275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6909"/>
        <w:gridCol w:w="1739"/>
      </w:tblGrid>
      <w:tr w:rsidR="003F39D9" w:rsidRPr="00087E31" w14:paraId="2C17E2C0" w14:textId="7CC1E5F7" w:rsidTr="00087E31">
        <w:trPr>
          <w:trHeight w:val="408"/>
        </w:trPr>
        <w:tc>
          <w:tcPr>
            <w:tcW w:w="4056" w:type="pct"/>
            <w:gridSpan w:val="2"/>
          </w:tcPr>
          <w:p w14:paraId="18A925B2" w14:textId="5D11FFDF" w:rsidR="003F39D9" w:rsidRPr="00087E31" w:rsidRDefault="003F39D9" w:rsidP="003F39D9">
            <w:pPr>
              <w:spacing w:after="0" w:line="240" w:lineRule="auto"/>
              <w:jc w:val="center"/>
              <w:rPr>
                <w:rFonts w:ascii="Calibri" w:eastAsia="Times New Roman" w:hAnsi="Calibri" w:cs="Calibri"/>
                <w:b/>
                <w:bCs/>
                <w:kern w:val="0"/>
                <w:sz w:val="28"/>
                <w:szCs w:val="28"/>
                <w:lang w:eastAsia="pl-PL"/>
                <w14:ligatures w14:val="none"/>
              </w:rPr>
            </w:pPr>
            <w:r w:rsidRPr="00087E31">
              <w:rPr>
                <w:rFonts w:ascii="Calibri" w:eastAsia="Times New Roman" w:hAnsi="Calibri" w:cs="Calibri"/>
                <w:b/>
                <w:bCs/>
                <w:color w:val="000000"/>
                <w:kern w:val="0"/>
                <w:sz w:val="28"/>
                <w:szCs w:val="28"/>
                <w:lang w:eastAsia="pl-PL"/>
                <w14:ligatures w14:val="none"/>
              </w:rPr>
              <w:t>Integracja</w:t>
            </w:r>
          </w:p>
        </w:tc>
        <w:tc>
          <w:tcPr>
            <w:tcW w:w="944" w:type="pct"/>
          </w:tcPr>
          <w:p w14:paraId="35A03AEE" w14:textId="77777777" w:rsidR="003F39D9" w:rsidRPr="00087E31" w:rsidRDefault="003F39D9" w:rsidP="003F39D9">
            <w:pPr>
              <w:spacing w:after="0" w:line="240" w:lineRule="auto"/>
              <w:jc w:val="center"/>
              <w:rPr>
                <w:rFonts w:ascii="Calibri" w:eastAsia="Times New Roman" w:hAnsi="Calibri" w:cs="Calibri"/>
                <w:b/>
                <w:bCs/>
                <w:kern w:val="0"/>
                <w:sz w:val="28"/>
                <w:szCs w:val="28"/>
                <w:lang w:eastAsia="pl-PL"/>
                <w14:ligatures w14:val="none"/>
              </w:rPr>
            </w:pPr>
          </w:p>
        </w:tc>
      </w:tr>
      <w:tr w:rsidR="003F39D9" w:rsidRPr="00902E0F" w14:paraId="6D568559" w14:textId="5F017C39" w:rsidTr="003F39D9">
        <w:trPr>
          <w:trHeight w:val="113"/>
        </w:trPr>
        <w:tc>
          <w:tcPr>
            <w:tcW w:w="306" w:type="pct"/>
          </w:tcPr>
          <w:p w14:paraId="65C210F4" w14:textId="77777777" w:rsidR="003F39D9" w:rsidRPr="00684CC9" w:rsidRDefault="003F39D9" w:rsidP="00827561">
            <w:pPr>
              <w:pStyle w:val="Akapitzlist"/>
              <w:numPr>
                <w:ilvl w:val="0"/>
                <w:numId w:val="25"/>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61113CCE" w14:textId="6D05B5A9" w:rsidR="003F39D9" w:rsidRPr="00684CC9" w:rsidRDefault="003F39D9" w:rsidP="003F39D9">
            <w:pPr>
              <w:spacing w:after="0" w:line="240" w:lineRule="auto"/>
              <w:rPr>
                <w:rFonts w:ascii="Calibri" w:eastAsia="Times New Roman" w:hAnsi="Calibri" w:cs="Calibri"/>
                <w:kern w:val="0"/>
                <w:sz w:val="22"/>
                <w:szCs w:val="22"/>
                <w:lang w:eastAsia="pl-PL"/>
                <w14:ligatures w14:val="none"/>
              </w:rPr>
            </w:pPr>
            <w:r w:rsidRPr="00684CC9">
              <w:rPr>
                <w:rFonts w:ascii="Calibri" w:eastAsia="Times New Roman" w:hAnsi="Calibri" w:cs="Calibri"/>
                <w:kern w:val="0"/>
                <w:sz w:val="22"/>
                <w:szCs w:val="22"/>
                <w:lang w:eastAsia="pl-PL"/>
                <w14:ligatures w14:val="none"/>
              </w:rPr>
              <w:t>Pobieranie z systemu HIS danych demograficznych pacjenta</w:t>
            </w:r>
          </w:p>
        </w:tc>
        <w:tc>
          <w:tcPr>
            <w:tcW w:w="944" w:type="pct"/>
          </w:tcPr>
          <w:p w14:paraId="570786A6" w14:textId="77777777" w:rsidR="003F39D9" w:rsidRPr="00684CC9" w:rsidRDefault="003F39D9" w:rsidP="003F39D9">
            <w:pPr>
              <w:spacing w:after="0" w:line="240" w:lineRule="auto"/>
              <w:jc w:val="center"/>
              <w:rPr>
                <w:rFonts w:ascii="Calibri" w:eastAsia="Times New Roman" w:hAnsi="Calibri" w:cs="Calibri"/>
                <w:kern w:val="0"/>
                <w:sz w:val="22"/>
                <w:szCs w:val="22"/>
                <w:lang w:eastAsia="pl-PL"/>
                <w14:ligatures w14:val="none"/>
              </w:rPr>
            </w:pPr>
          </w:p>
        </w:tc>
      </w:tr>
      <w:tr w:rsidR="003F39D9" w:rsidRPr="00902E0F" w14:paraId="495E7F86" w14:textId="56C57661" w:rsidTr="003F39D9">
        <w:trPr>
          <w:trHeight w:val="113"/>
        </w:trPr>
        <w:tc>
          <w:tcPr>
            <w:tcW w:w="306" w:type="pct"/>
          </w:tcPr>
          <w:p w14:paraId="24CDACAD" w14:textId="77777777" w:rsidR="003F39D9" w:rsidRPr="00684CC9" w:rsidRDefault="003F39D9" w:rsidP="00827561">
            <w:pPr>
              <w:pStyle w:val="Akapitzlist"/>
              <w:numPr>
                <w:ilvl w:val="0"/>
                <w:numId w:val="25"/>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01663727" w14:textId="3A306FBC" w:rsidR="003F39D9" w:rsidRPr="00684CC9" w:rsidRDefault="003F39D9" w:rsidP="003F39D9">
            <w:pPr>
              <w:rPr>
                <w:rFonts w:ascii="Calibri" w:hAnsi="Calibri" w:cs="Calibri"/>
                <w:sz w:val="22"/>
                <w:szCs w:val="22"/>
              </w:rPr>
            </w:pPr>
            <w:r w:rsidRPr="00684CC9">
              <w:rPr>
                <w:rFonts w:ascii="Calibri" w:hAnsi="Calibri" w:cs="Calibri"/>
                <w:sz w:val="22"/>
                <w:szCs w:val="22"/>
              </w:rPr>
              <w:t xml:space="preserve">Wysyłanie do systemu HIS dokumentacji w formacie PDF (min. Blok - OKK, EKZ, Protokołu zużycia leków, </w:t>
            </w:r>
            <w:r>
              <w:rPr>
                <w:rFonts w:ascii="Calibri" w:hAnsi="Calibri" w:cs="Calibri"/>
                <w:sz w:val="22"/>
                <w:szCs w:val="22"/>
              </w:rPr>
              <w:t>R</w:t>
            </w:r>
            <w:r w:rsidRPr="00684CC9">
              <w:rPr>
                <w:rFonts w:ascii="Calibri" w:hAnsi="Calibri" w:cs="Calibri"/>
                <w:sz w:val="22"/>
                <w:szCs w:val="22"/>
              </w:rPr>
              <w:t>aport zmianowy z przebiegu leczenia pacjenta raport dzienny z przebiegu leczenia pacjenta, protokół zużycia leków)</w:t>
            </w:r>
          </w:p>
        </w:tc>
        <w:tc>
          <w:tcPr>
            <w:tcW w:w="944" w:type="pct"/>
          </w:tcPr>
          <w:p w14:paraId="705B4C8A" w14:textId="77777777" w:rsidR="003F39D9" w:rsidRPr="00684CC9" w:rsidRDefault="003F39D9" w:rsidP="003F39D9">
            <w:pPr>
              <w:jc w:val="center"/>
              <w:rPr>
                <w:rFonts w:ascii="Calibri" w:hAnsi="Calibri" w:cs="Calibri"/>
                <w:sz w:val="22"/>
                <w:szCs w:val="22"/>
              </w:rPr>
            </w:pPr>
          </w:p>
        </w:tc>
      </w:tr>
      <w:tr w:rsidR="003F39D9" w:rsidRPr="00902E0F" w14:paraId="3894A269" w14:textId="79943A26" w:rsidTr="003F39D9">
        <w:trPr>
          <w:trHeight w:val="113"/>
        </w:trPr>
        <w:tc>
          <w:tcPr>
            <w:tcW w:w="306" w:type="pct"/>
          </w:tcPr>
          <w:p w14:paraId="1C9BCDC7" w14:textId="77777777" w:rsidR="003F39D9" w:rsidRPr="00684CC9" w:rsidRDefault="003F39D9" w:rsidP="00827561">
            <w:pPr>
              <w:pStyle w:val="Akapitzlist"/>
              <w:numPr>
                <w:ilvl w:val="0"/>
                <w:numId w:val="25"/>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2031FBC6" w14:textId="02B027F1" w:rsidR="003F39D9" w:rsidRPr="00684CC9" w:rsidRDefault="003F39D9" w:rsidP="003F39D9">
            <w:pPr>
              <w:rPr>
                <w:rFonts w:ascii="Calibri" w:eastAsia="Times New Roman" w:hAnsi="Calibri" w:cs="Calibri"/>
                <w:kern w:val="0"/>
                <w:sz w:val="22"/>
                <w:szCs w:val="22"/>
                <w:lang w:eastAsia="pl-PL"/>
                <w14:ligatures w14:val="none"/>
              </w:rPr>
            </w:pPr>
            <w:r>
              <w:rPr>
                <w:rFonts w:ascii="Calibri" w:hAnsi="Calibri" w:cs="Calibri"/>
                <w:sz w:val="22"/>
                <w:szCs w:val="22"/>
              </w:rPr>
              <w:t>Komunikacja</w:t>
            </w:r>
            <w:r w:rsidRPr="00684CC9">
              <w:rPr>
                <w:rFonts w:ascii="Calibri" w:hAnsi="Calibri" w:cs="Calibri"/>
                <w:sz w:val="22"/>
                <w:szCs w:val="22"/>
              </w:rPr>
              <w:t xml:space="preserve"> z HIS danych laboratoryjnych za pomocą interfejsu HL7 (ORU R01).</w:t>
            </w:r>
          </w:p>
        </w:tc>
        <w:tc>
          <w:tcPr>
            <w:tcW w:w="944" w:type="pct"/>
          </w:tcPr>
          <w:p w14:paraId="4687B2EC" w14:textId="77777777" w:rsidR="003F39D9" w:rsidRPr="00684CC9" w:rsidRDefault="003F39D9" w:rsidP="003F39D9">
            <w:pPr>
              <w:jc w:val="center"/>
              <w:rPr>
                <w:rFonts w:ascii="Calibri" w:hAnsi="Calibri" w:cs="Calibri"/>
                <w:sz w:val="22"/>
                <w:szCs w:val="22"/>
              </w:rPr>
            </w:pPr>
          </w:p>
        </w:tc>
      </w:tr>
      <w:tr w:rsidR="003F39D9" w:rsidRPr="00902E0F" w14:paraId="58ECEFE0" w14:textId="5EE7EFF5" w:rsidTr="003F39D9">
        <w:trPr>
          <w:trHeight w:val="113"/>
        </w:trPr>
        <w:tc>
          <w:tcPr>
            <w:tcW w:w="306" w:type="pct"/>
          </w:tcPr>
          <w:p w14:paraId="0DBBEA13" w14:textId="77777777" w:rsidR="003F39D9" w:rsidRPr="00684CC9" w:rsidRDefault="003F39D9" w:rsidP="00827561">
            <w:pPr>
              <w:pStyle w:val="Akapitzlist"/>
              <w:numPr>
                <w:ilvl w:val="0"/>
                <w:numId w:val="25"/>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7D0F8EF9" w14:textId="429FACAC" w:rsidR="003F39D9" w:rsidRPr="00684CC9" w:rsidRDefault="003F39D9" w:rsidP="003F39D9">
            <w:pPr>
              <w:rPr>
                <w:rFonts w:ascii="Calibri" w:hAnsi="Calibri" w:cs="Calibri"/>
                <w:sz w:val="22"/>
                <w:szCs w:val="22"/>
              </w:rPr>
            </w:pPr>
            <w:r w:rsidRPr="00684CC9">
              <w:rPr>
                <w:rFonts w:ascii="Calibri" w:hAnsi="Calibri" w:cs="Calibri"/>
                <w:sz w:val="22"/>
                <w:szCs w:val="22"/>
              </w:rPr>
              <w:t>System CIS wyświetla otrzymane dane laboratoryjne, w tym identyfikator laboratorium, status, wartość, czas obserwacji, komentarze, wartości dolnego i górnego zakresu.</w:t>
            </w:r>
          </w:p>
        </w:tc>
        <w:tc>
          <w:tcPr>
            <w:tcW w:w="944" w:type="pct"/>
          </w:tcPr>
          <w:p w14:paraId="02ED7D3F" w14:textId="77777777" w:rsidR="003F39D9" w:rsidRPr="00684CC9" w:rsidRDefault="003F39D9" w:rsidP="003F39D9">
            <w:pPr>
              <w:jc w:val="center"/>
              <w:rPr>
                <w:rFonts w:ascii="Calibri" w:hAnsi="Calibri" w:cs="Calibri"/>
                <w:sz w:val="22"/>
                <w:szCs w:val="22"/>
              </w:rPr>
            </w:pPr>
          </w:p>
        </w:tc>
      </w:tr>
    </w:tbl>
    <w:p w14:paraId="6DCD3091" w14:textId="77777777" w:rsidR="00087E31" w:rsidRDefault="00087E31"/>
    <w:p w14:paraId="1E7770E2" w14:textId="77777777" w:rsidR="00827561" w:rsidRDefault="00827561">
      <w:pPr>
        <w:rPr>
          <w:rFonts w:ascii="Calibri" w:eastAsia="Times New Roman" w:hAnsi="Calibri" w:cs="Calibri"/>
          <w:b/>
          <w:bCs/>
          <w:color w:val="000001"/>
          <w:kern w:val="0"/>
          <w:sz w:val="32"/>
          <w:szCs w:val="32"/>
          <w:lang w:eastAsia="pl-PL"/>
          <w14:ligatures w14:val="none"/>
        </w:rPr>
      </w:pPr>
      <w:r>
        <w:rPr>
          <w:rFonts w:ascii="Calibri" w:eastAsia="Times New Roman" w:hAnsi="Calibri" w:cs="Calibri"/>
          <w:b/>
          <w:bCs/>
          <w:color w:val="000001"/>
          <w:kern w:val="0"/>
          <w:sz w:val="32"/>
          <w:szCs w:val="32"/>
          <w:lang w:eastAsia="pl-PL"/>
          <w14:ligatures w14:val="none"/>
        </w:rPr>
        <w:br w:type="page"/>
      </w:r>
    </w:p>
    <w:p w14:paraId="200CD5D5" w14:textId="224DD1D4" w:rsidR="00087E31" w:rsidRDefault="00087E31" w:rsidP="00087E31">
      <w:r w:rsidRPr="00087E31">
        <w:rPr>
          <w:rFonts w:ascii="Calibri" w:eastAsia="Times New Roman" w:hAnsi="Calibri" w:cs="Calibri"/>
          <w:b/>
          <w:bCs/>
          <w:color w:val="000001"/>
          <w:kern w:val="0"/>
          <w:sz w:val="32"/>
          <w:szCs w:val="32"/>
          <w:lang w:eastAsia="pl-PL"/>
          <w14:ligatures w14:val="none"/>
        </w:rPr>
        <w:lastRenderedPageBreak/>
        <w:t xml:space="preserve">Serwer </w:t>
      </w:r>
      <w:r>
        <w:rPr>
          <w:rFonts w:ascii="Calibri" w:eastAsia="Times New Roman" w:hAnsi="Calibri" w:cs="Calibri"/>
          <w:b/>
          <w:bCs/>
          <w:color w:val="000001"/>
          <w:kern w:val="0"/>
          <w:sz w:val="32"/>
          <w:szCs w:val="32"/>
          <w:lang w:eastAsia="pl-PL"/>
          <w14:ligatures w14:val="none"/>
        </w:rPr>
        <w:t>b</w:t>
      </w:r>
      <w:r w:rsidRPr="00087E31">
        <w:rPr>
          <w:rFonts w:ascii="Calibri" w:eastAsia="Times New Roman" w:hAnsi="Calibri" w:cs="Calibri"/>
          <w:b/>
          <w:bCs/>
          <w:color w:val="000001"/>
          <w:kern w:val="0"/>
          <w:sz w:val="32"/>
          <w:szCs w:val="32"/>
          <w:lang w:eastAsia="pl-PL"/>
          <w14:ligatures w14:val="none"/>
        </w:rPr>
        <w:t>azy danych</w:t>
      </w:r>
      <w:r w:rsidR="00600813">
        <w:rPr>
          <w:rFonts w:ascii="Calibri" w:eastAsia="Times New Roman" w:hAnsi="Calibri" w:cs="Calibri"/>
          <w:b/>
          <w:bCs/>
          <w:color w:val="000001"/>
          <w:kern w:val="0"/>
          <w:sz w:val="32"/>
          <w:szCs w:val="32"/>
          <w:lang w:eastAsia="pl-PL"/>
          <w14:ligatures w14:val="none"/>
        </w:rPr>
        <w:t xml:space="preserve"> oraz </w:t>
      </w:r>
      <w:r w:rsidR="00600813" w:rsidRPr="00600813">
        <w:rPr>
          <w:rFonts w:ascii="Calibri" w:eastAsia="Times New Roman" w:hAnsi="Calibri" w:cs="Calibri"/>
          <w:b/>
          <w:bCs/>
          <w:color w:val="000001"/>
          <w:kern w:val="0"/>
          <w:sz w:val="32"/>
          <w:szCs w:val="32"/>
          <w:lang w:eastAsia="pl-PL"/>
          <w14:ligatures w14:val="none"/>
        </w:rPr>
        <w:t>realizujący zadania integracyjne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6908"/>
        <w:gridCol w:w="1739"/>
      </w:tblGrid>
      <w:tr w:rsidR="003F39D9" w:rsidRPr="00600813" w14:paraId="3E4E5C98" w14:textId="6BEA9B4C" w:rsidTr="00600813">
        <w:trPr>
          <w:trHeight w:val="456"/>
        </w:trPr>
        <w:tc>
          <w:tcPr>
            <w:tcW w:w="4056" w:type="pct"/>
            <w:gridSpan w:val="2"/>
          </w:tcPr>
          <w:p w14:paraId="5DA2817C" w14:textId="01533A23" w:rsidR="003F39D9" w:rsidRPr="00600813" w:rsidRDefault="003F39D9" w:rsidP="00600813">
            <w:pPr>
              <w:spacing w:after="0" w:line="240" w:lineRule="auto"/>
              <w:rPr>
                <w:rFonts w:ascii="Calibri" w:eastAsia="Times New Roman" w:hAnsi="Calibri" w:cs="Calibri"/>
                <w:b/>
                <w:bCs/>
                <w:color w:val="000000"/>
                <w:kern w:val="0"/>
                <w:sz w:val="28"/>
                <w:szCs w:val="28"/>
                <w:lang w:eastAsia="pl-PL"/>
                <w14:ligatures w14:val="none"/>
              </w:rPr>
            </w:pPr>
            <w:r w:rsidRPr="00600813">
              <w:rPr>
                <w:rFonts w:ascii="Calibri" w:eastAsia="Times New Roman" w:hAnsi="Calibri" w:cs="Calibri"/>
                <w:b/>
                <w:bCs/>
                <w:color w:val="000000"/>
                <w:kern w:val="0"/>
                <w:sz w:val="28"/>
                <w:szCs w:val="28"/>
                <w:lang w:eastAsia="pl-PL"/>
                <w14:ligatures w14:val="none"/>
              </w:rPr>
              <w:t>Serwer</w:t>
            </w:r>
            <w:r w:rsidR="000019B7" w:rsidRPr="00600813">
              <w:rPr>
                <w:rFonts w:ascii="Calibri" w:eastAsia="Times New Roman" w:hAnsi="Calibri" w:cs="Calibri"/>
                <w:b/>
                <w:bCs/>
                <w:color w:val="000000"/>
                <w:kern w:val="0"/>
                <w:sz w:val="28"/>
                <w:szCs w:val="28"/>
                <w:lang w:eastAsia="pl-PL"/>
                <w14:ligatures w14:val="none"/>
              </w:rPr>
              <w:t xml:space="preserve"> bazy danych</w:t>
            </w:r>
            <w:r w:rsidR="00600813">
              <w:rPr>
                <w:rFonts w:ascii="Calibri" w:eastAsia="Times New Roman" w:hAnsi="Calibri" w:cs="Calibri"/>
                <w:b/>
                <w:bCs/>
                <w:color w:val="000000"/>
                <w:kern w:val="0"/>
                <w:sz w:val="28"/>
                <w:szCs w:val="28"/>
                <w:lang w:eastAsia="pl-PL"/>
                <w14:ligatures w14:val="none"/>
              </w:rPr>
              <w:t xml:space="preserve"> szt. 1</w:t>
            </w:r>
          </w:p>
        </w:tc>
        <w:tc>
          <w:tcPr>
            <w:tcW w:w="944" w:type="pct"/>
          </w:tcPr>
          <w:p w14:paraId="2254A268" w14:textId="77777777" w:rsidR="003F39D9" w:rsidRPr="00600813" w:rsidRDefault="003F39D9" w:rsidP="00600813">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DA6440" w14:paraId="4890EC40" w14:textId="23E73AA3" w:rsidTr="00600813">
        <w:trPr>
          <w:trHeight w:val="113"/>
        </w:trPr>
        <w:tc>
          <w:tcPr>
            <w:tcW w:w="306" w:type="pct"/>
          </w:tcPr>
          <w:p w14:paraId="5F43184C" w14:textId="77777777" w:rsidR="003F39D9" w:rsidRPr="00684CC9" w:rsidRDefault="003F39D9" w:rsidP="00827561">
            <w:pPr>
              <w:pStyle w:val="Akapitzlist"/>
              <w:numPr>
                <w:ilvl w:val="0"/>
                <w:numId w:val="26"/>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74FF8A2D" w14:textId="4D42A2C6" w:rsidR="003F39D9" w:rsidRPr="002077B5" w:rsidRDefault="003F39D9" w:rsidP="003F39D9">
            <w:pPr>
              <w:spacing w:after="0" w:line="240" w:lineRule="auto"/>
              <w:rPr>
                <w:rFonts w:ascii="Calibri" w:eastAsia="Times New Roman" w:hAnsi="Calibri" w:cs="Calibri"/>
                <w:b/>
                <w:bCs/>
                <w:kern w:val="0"/>
                <w:sz w:val="22"/>
                <w:szCs w:val="22"/>
                <w:lang w:eastAsia="pl-PL"/>
                <w14:ligatures w14:val="none"/>
              </w:rPr>
            </w:pPr>
            <w:r w:rsidRPr="002077B5">
              <w:rPr>
                <w:rFonts w:ascii="Calibri" w:eastAsia="Times New Roman" w:hAnsi="Calibri" w:cs="Calibri"/>
                <w:b/>
                <w:bCs/>
                <w:kern w:val="0"/>
                <w:sz w:val="22"/>
                <w:szCs w:val="22"/>
                <w:lang w:eastAsia="pl-PL"/>
                <w14:ligatures w14:val="none"/>
              </w:rPr>
              <w:t>Wymagania dla serwera bazy danych</w:t>
            </w:r>
            <w:r w:rsidR="00600813">
              <w:rPr>
                <w:rFonts w:ascii="Calibri" w:eastAsia="Times New Roman" w:hAnsi="Calibri" w:cs="Calibri"/>
                <w:b/>
                <w:bCs/>
                <w:kern w:val="0"/>
                <w:sz w:val="22"/>
                <w:szCs w:val="22"/>
                <w:lang w:eastAsia="pl-PL"/>
                <w14:ligatures w14:val="none"/>
              </w:rPr>
              <w:t>:</w:t>
            </w:r>
          </w:p>
          <w:p w14:paraId="0A64D9A9" w14:textId="46A24F64"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Wykonawca zobowiązany jest zapewnić serwer bazy danych spełniający co najmniej następujące wymagania:</w:t>
            </w:r>
          </w:p>
          <w:p w14:paraId="59FEDEDE"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10 rdzeni procesora,</w:t>
            </w:r>
          </w:p>
          <w:p w14:paraId="21B8C683"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16 GB pamięci RAM,</w:t>
            </w:r>
          </w:p>
          <w:p w14:paraId="48A45D97"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 xml:space="preserve">co najmniej 2 interfejsy sieciowe 1 </w:t>
            </w:r>
            <w:proofErr w:type="spellStart"/>
            <w:r w:rsidRPr="002077B5">
              <w:rPr>
                <w:rFonts w:ascii="Calibri" w:eastAsia="Times New Roman" w:hAnsi="Calibri" w:cs="Calibri"/>
                <w:kern w:val="0"/>
                <w:sz w:val="22"/>
                <w:szCs w:val="22"/>
                <w:lang w:eastAsia="pl-PL"/>
                <w14:ligatures w14:val="none"/>
              </w:rPr>
              <w:t>Gb</w:t>
            </w:r>
            <w:proofErr w:type="spellEnd"/>
            <w:r w:rsidRPr="002077B5">
              <w:rPr>
                <w:rFonts w:ascii="Calibri" w:eastAsia="Times New Roman" w:hAnsi="Calibri" w:cs="Calibri"/>
                <w:kern w:val="0"/>
                <w:sz w:val="22"/>
                <w:szCs w:val="22"/>
                <w:lang w:eastAsia="pl-PL"/>
                <w14:ligatures w14:val="none"/>
              </w:rPr>
              <w:t>,</w:t>
            </w:r>
          </w:p>
          <w:p w14:paraId="64A74710"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zasilanie redundantne,</w:t>
            </w:r>
          </w:p>
          <w:p w14:paraId="005E2F85"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redundantne wentylatory,</w:t>
            </w:r>
          </w:p>
          <w:p w14:paraId="3851BAB6" w14:textId="77777777"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 xml:space="preserve">interfejs HBA FC, </w:t>
            </w:r>
            <w:proofErr w:type="spellStart"/>
            <w:r w:rsidRPr="002077B5">
              <w:rPr>
                <w:rFonts w:ascii="Calibri" w:eastAsia="Times New Roman" w:hAnsi="Calibri" w:cs="Calibri"/>
                <w:kern w:val="0"/>
                <w:sz w:val="22"/>
                <w:szCs w:val="22"/>
                <w:lang w:eastAsia="pl-PL"/>
                <w14:ligatures w14:val="none"/>
              </w:rPr>
              <w:t>iSCSI</w:t>
            </w:r>
            <w:proofErr w:type="spellEnd"/>
            <w:r w:rsidRPr="002077B5">
              <w:rPr>
                <w:rFonts w:ascii="Calibri" w:eastAsia="Times New Roman" w:hAnsi="Calibri" w:cs="Calibri"/>
                <w:kern w:val="0"/>
                <w:sz w:val="22"/>
                <w:szCs w:val="22"/>
                <w:lang w:eastAsia="pl-PL"/>
                <w14:ligatures w14:val="none"/>
              </w:rPr>
              <w:t xml:space="preserve"> lub </w:t>
            </w:r>
            <w:proofErr w:type="spellStart"/>
            <w:r w:rsidRPr="002077B5">
              <w:rPr>
                <w:rFonts w:ascii="Calibri" w:eastAsia="Times New Roman" w:hAnsi="Calibri" w:cs="Calibri"/>
                <w:kern w:val="0"/>
                <w:sz w:val="22"/>
                <w:szCs w:val="22"/>
                <w:lang w:eastAsia="pl-PL"/>
                <w14:ligatures w14:val="none"/>
              </w:rPr>
              <w:t>FCoE</w:t>
            </w:r>
            <w:proofErr w:type="spellEnd"/>
            <w:r w:rsidRPr="002077B5">
              <w:rPr>
                <w:rFonts w:ascii="Calibri" w:eastAsia="Times New Roman" w:hAnsi="Calibri" w:cs="Calibri"/>
                <w:kern w:val="0"/>
                <w:sz w:val="22"/>
                <w:szCs w:val="22"/>
                <w:lang w:eastAsia="pl-PL"/>
                <w14:ligatures w14:val="none"/>
              </w:rPr>
              <w:t xml:space="preserve"> do połączenia z magazynem danych,</w:t>
            </w:r>
          </w:p>
          <w:p w14:paraId="3274B734" w14:textId="1C3C32A3" w:rsidR="003F39D9" w:rsidRPr="002077B5" w:rsidRDefault="003F39D9" w:rsidP="003F39D9">
            <w:pPr>
              <w:numPr>
                <w:ilvl w:val="0"/>
                <w:numId w:val="3"/>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300 GB pamięci lokalnej dla systemu operacyjnego, z redundancją</w:t>
            </w:r>
            <w:r>
              <w:rPr>
                <w:rFonts w:ascii="Calibri" w:eastAsia="Times New Roman" w:hAnsi="Calibri" w:cs="Calibri"/>
                <w:kern w:val="0"/>
                <w:sz w:val="22"/>
                <w:szCs w:val="22"/>
                <w:lang w:eastAsia="pl-PL"/>
                <w14:ligatures w14:val="none"/>
              </w:rPr>
              <w:t xml:space="preserve"> (RAID </w:t>
            </w:r>
            <w:r w:rsidR="00273A27">
              <w:rPr>
                <w:rFonts w:ascii="Calibri" w:eastAsia="Times New Roman" w:hAnsi="Calibri" w:cs="Calibri"/>
                <w:kern w:val="0"/>
                <w:sz w:val="22"/>
                <w:szCs w:val="22"/>
                <w:lang w:eastAsia="pl-PL"/>
                <w14:ligatures w14:val="none"/>
              </w:rPr>
              <w:t>5</w:t>
            </w:r>
            <w:r>
              <w:rPr>
                <w:rFonts w:ascii="Calibri" w:eastAsia="Times New Roman" w:hAnsi="Calibri" w:cs="Calibri"/>
                <w:kern w:val="0"/>
                <w:sz w:val="22"/>
                <w:szCs w:val="22"/>
                <w:lang w:eastAsia="pl-PL"/>
                <w14:ligatures w14:val="none"/>
              </w:rPr>
              <w:t>)</w:t>
            </w:r>
            <w:r w:rsidRPr="002077B5">
              <w:rPr>
                <w:rFonts w:ascii="Calibri" w:eastAsia="Times New Roman" w:hAnsi="Calibri" w:cs="Calibri"/>
                <w:kern w:val="0"/>
                <w:sz w:val="22"/>
                <w:szCs w:val="22"/>
                <w:lang w:eastAsia="pl-PL"/>
                <w14:ligatures w14:val="none"/>
              </w:rPr>
              <w:t>.</w:t>
            </w:r>
          </w:p>
          <w:p w14:paraId="42A51B02" w14:textId="77777777"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W przypadku wdrożenia w środowisku wirtualnym wszystkie przydzielone rdzenie procesora oraz pamięć RAM muszą być zarezerwowane dla maszyny wirtualnej.</w:t>
            </w:r>
          </w:p>
          <w:p w14:paraId="530A02C1" w14:textId="77777777"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W zakresie oprogramowania serwer bazy danych musi współpracować co najmniej z:</w:t>
            </w:r>
          </w:p>
          <w:p w14:paraId="42187696" w14:textId="77777777" w:rsidR="003F39D9" w:rsidRPr="002077B5" w:rsidRDefault="003F39D9" w:rsidP="003F39D9">
            <w:pPr>
              <w:numPr>
                <w:ilvl w:val="0"/>
                <w:numId w:val="4"/>
              </w:numPr>
              <w:spacing w:after="0" w:line="240" w:lineRule="auto"/>
              <w:rPr>
                <w:rFonts w:ascii="Calibri" w:eastAsia="Times New Roman" w:hAnsi="Calibri" w:cs="Calibri"/>
                <w:kern w:val="0"/>
                <w:sz w:val="22"/>
                <w:szCs w:val="22"/>
                <w:lang w:val="en-US" w:eastAsia="pl-PL"/>
                <w14:ligatures w14:val="none"/>
              </w:rPr>
            </w:pPr>
            <w:r w:rsidRPr="002077B5">
              <w:rPr>
                <w:rFonts w:ascii="Calibri" w:eastAsia="Times New Roman" w:hAnsi="Calibri" w:cs="Calibri"/>
                <w:kern w:val="0"/>
                <w:sz w:val="22"/>
                <w:szCs w:val="22"/>
                <w:lang w:val="en-US" w:eastAsia="pl-PL"/>
                <w14:ligatures w14:val="none"/>
              </w:rPr>
              <w:t xml:space="preserve">Microsoft Windows Server Standard Edition 2019 </w:t>
            </w:r>
            <w:proofErr w:type="spellStart"/>
            <w:r w:rsidRPr="002077B5">
              <w:rPr>
                <w:rFonts w:ascii="Calibri" w:eastAsia="Times New Roman" w:hAnsi="Calibri" w:cs="Calibri"/>
                <w:kern w:val="0"/>
                <w:sz w:val="22"/>
                <w:szCs w:val="22"/>
                <w:lang w:val="en-US" w:eastAsia="pl-PL"/>
                <w14:ligatures w14:val="none"/>
              </w:rPr>
              <w:t>lub</w:t>
            </w:r>
            <w:proofErr w:type="spellEnd"/>
            <w:r w:rsidRPr="002077B5">
              <w:rPr>
                <w:rFonts w:ascii="Calibri" w:eastAsia="Times New Roman" w:hAnsi="Calibri" w:cs="Calibri"/>
                <w:kern w:val="0"/>
                <w:sz w:val="22"/>
                <w:szCs w:val="22"/>
                <w:lang w:val="en-US" w:eastAsia="pl-PL"/>
                <w14:ligatures w14:val="none"/>
              </w:rPr>
              <w:t xml:space="preserve"> 2022,</w:t>
            </w:r>
          </w:p>
          <w:p w14:paraId="3F8A357B" w14:textId="77777777" w:rsidR="003F39D9" w:rsidRPr="002077B5" w:rsidRDefault="003F39D9" w:rsidP="003F39D9">
            <w:pPr>
              <w:numPr>
                <w:ilvl w:val="0"/>
                <w:numId w:val="4"/>
              </w:numPr>
              <w:spacing w:after="0" w:line="240" w:lineRule="auto"/>
              <w:rPr>
                <w:rFonts w:ascii="Calibri" w:eastAsia="Times New Roman" w:hAnsi="Calibri" w:cs="Calibri"/>
                <w:kern w:val="0"/>
                <w:sz w:val="22"/>
                <w:szCs w:val="22"/>
                <w:lang w:val="en-US" w:eastAsia="pl-PL"/>
                <w14:ligatures w14:val="none"/>
              </w:rPr>
            </w:pPr>
            <w:r w:rsidRPr="002077B5">
              <w:rPr>
                <w:rFonts w:ascii="Calibri" w:eastAsia="Times New Roman" w:hAnsi="Calibri" w:cs="Calibri"/>
                <w:kern w:val="0"/>
                <w:sz w:val="22"/>
                <w:szCs w:val="22"/>
                <w:lang w:val="en-US" w:eastAsia="pl-PL"/>
                <w14:ligatures w14:val="none"/>
              </w:rPr>
              <w:t>Microsoft SQL Server 2022 Standard Edition,</w:t>
            </w:r>
          </w:p>
          <w:p w14:paraId="3432731F" w14:textId="383DC956" w:rsidR="003F39D9" w:rsidRPr="002077B5" w:rsidRDefault="003F39D9" w:rsidP="003F39D9">
            <w:pPr>
              <w:numPr>
                <w:ilvl w:val="0"/>
                <w:numId w:val="4"/>
              </w:numPr>
              <w:spacing w:after="0" w:line="240" w:lineRule="auto"/>
              <w:rPr>
                <w:rFonts w:ascii="Calibri" w:eastAsia="Times New Roman" w:hAnsi="Calibri" w:cs="Calibri"/>
                <w:kern w:val="0"/>
                <w:sz w:val="22"/>
                <w:szCs w:val="22"/>
                <w:lang w:val="en-US" w:eastAsia="pl-PL"/>
                <w14:ligatures w14:val="none"/>
              </w:rPr>
            </w:pPr>
            <w:r w:rsidRPr="00DA6440">
              <w:rPr>
                <w:rFonts w:ascii="Calibri" w:eastAsia="Times New Roman" w:hAnsi="Calibri" w:cs="Calibri"/>
                <w:kern w:val="0"/>
                <w:sz w:val="22"/>
                <w:szCs w:val="22"/>
                <w:lang w:eastAsia="pl-PL"/>
                <w14:ligatures w14:val="none"/>
              </w:rPr>
              <w:t xml:space="preserve">opcjonalnie z platformą </w:t>
            </w:r>
            <w:proofErr w:type="spellStart"/>
            <w:r w:rsidRPr="00DA6440">
              <w:rPr>
                <w:rFonts w:ascii="Calibri" w:eastAsia="Times New Roman" w:hAnsi="Calibri" w:cs="Calibri"/>
                <w:kern w:val="0"/>
                <w:sz w:val="22"/>
                <w:szCs w:val="22"/>
                <w:lang w:eastAsia="pl-PL"/>
                <w14:ligatures w14:val="none"/>
              </w:rPr>
              <w:t>wirtualizacyjną</w:t>
            </w:r>
            <w:proofErr w:type="spellEnd"/>
            <w:r w:rsidRPr="00DA6440">
              <w:rPr>
                <w:rFonts w:ascii="Calibri" w:eastAsia="Times New Roman" w:hAnsi="Calibri" w:cs="Calibri"/>
                <w:kern w:val="0"/>
                <w:sz w:val="22"/>
                <w:szCs w:val="22"/>
                <w:lang w:eastAsia="pl-PL"/>
                <w14:ligatures w14:val="none"/>
              </w:rPr>
              <w:t xml:space="preserve"> min. </w:t>
            </w:r>
            <w:r w:rsidRPr="002077B5">
              <w:rPr>
                <w:rFonts w:ascii="Calibri" w:eastAsia="Times New Roman" w:hAnsi="Calibri" w:cs="Calibri"/>
                <w:kern w:val="0"/>
                <w:sz w:val="22"/>
                <w:szCs w:val="22"/>
                <w:lang w:val="en-US" w:eastAsia="pl-PL"/>
                <w14:ligatures w14:val="none"/>
              </w:rPr>
              <w:t>VMware vSphere Standard Edition</w:t>
            </w:r>
            <w:r>
              <w:rPr>
                <w:rFonts w:ascii="Calibri" w:eastAsia="Times New Roman" w:hAnsi="Calibri" w:cs="Calibri"/>
                <w:kern w:val="0"/>
                <w:sz w:val="22"/>
                <w:szCs w:val="22"/>
                <w:lang w:val="en-US" w:eastAsia="pl-PL"/>
                <w14:ligatures w14:val="none"/>
              </w:rPr>
              <w:t>,</w:t>
            </w:r>
            <w:r w:rsidRPr="002077B5">
              <w:rPr>
                <w:rFonts w:ascii="Calibri" w:eastAsia="Times New Roman" w:hAnsi="Calibri" w:cs="Calibri"/>
                <w:kern w:val="0"/>
                <w:sz w:val="22"/>
                <w:szCs w:val="22"/>
                <w:lang w:val="en-US" w:eastAsia="pl-PL"/>
                <w14:ligatures w14:val="none"/>
              </w:rPr>
              <w:t xml:space="preserve"> Microsoft Hyper-V.</w:t>
            </w:r>
          </w:p>
          <w:p w14:paraId="26FA7BC8" w14:textId="65EDCF31" w:rsidR="003F39D9"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 xml:space="preserve">W </w:t>
            </w:r>
            <w:r>
              <w:rPr>
                <w:rFonts w:ascii="Calibri" w:eastAsia="Times New Roman" w:hAnsi="Calibri" w:cs="Calibri"/>
                <w:kern w:val="0"/>
                <w:sz w:val="22"/>
                <w:szCs w:val="22"/>
                <w:lang w:eastAsia="pl-PL"/>
                <w14:ligatures w14:val="none"/>
              </w:rPr>
              <w:t>ramach serwera Wykonawca zapewnia licencje na system oraz dostarczoną bazę danych.</w:t>
            </w:r>
          </w:p>
          <w:p w14:paraId="6F58A994" w14:textId="0F18DE9F"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F946F4">
              <w:rPr>
                <w:rFonts w:ascii="Calibri" w:eastAsia="Times New Roman" w:hAnsi="Calibri" w:cs="Calibri"/>
                <w:kern w:val="0"/>
                <w:sz w:val="22"/>
                <w:szCs w:val="22"/>
                <w:lang w:eastAsia="pl-PL"/>
                <w14:ligatures w14:val="none"/>
              </w:rPr>
              <w:t>Serwer musi być fabrycznie nowy i pochodzić z oficjalnego kanału dystrybucyjnego w UE – wymagane oświadczenie wykonawcy lub producenta</w:t>
            </w:r>
            <w:r>
              <w:rPr>
                <w:rFonts w:ascii="Calibri" w:eastAsia="Times New Roman" w:hAnsi="Calibri" w:cs="Calibri"/>
                <w:kern w:val="0"/>
                <w:sz w:val="22"/>
                <w:szCs w:val="22"/>
                <w:lang w:eastAsia="pl-PL"/>
                <w14:ligatures w14:val="none"/>
              </w:rPr>
              <w:t>.</w:t>
            </w:r>
          </w:p>
          <w:p w14:paraId="2C07F6B9" w14:textId="047F8089" w:rsidR="003F39D9" w:rsidRPr="00DA6440" w:rsidRDefault="003F39D9" w:rsidP="003F39D9">
            <w:pPr>
              <w:spacing w:after="0" w:line="240" w:lineRule="auto"/>
              <w:rPr>
                <w:rFonts w:ascii="Calibri" w:eastAsia="Times New Roman" w:hAnsi="Calibri" w:cs="Calibri"/>
                <w:kern w:val="0"/>
                <w:sz w:val="22"/>
                <w:szCs w:val="22"/>
                <w:lang w:eastAsia="pl-PL"/>
                <w14:ligatures w14:val="none"/>
              </w:rPr>
            </w:pPr>
            <w:r w:rsidRPr="0005718E">
              <w:rPr>
                <w:rFonts w:ascii="Calibri" w:eastAsia="Times New Roman" w:hAnsi="Calibri" w:cs="Calibri"/>
                <w:kern w:val="0"/>
                <w:sz w:val="22"/>
                <w:szCs w:val="22"/>
                <w:lang w:eastAsia="pl-PL"/>
                <w14:ligatures w14:val="none"/>
              </w:rPr>
              <w:t>Minimum 36 miesięcy gwarancji producenta, serwis świadczony przez producenta lub autoryzowany serwis producenta w miejscu instalacji sprzętu.</w:t>
            </w:r>
          </w:p>
        </w:tc>
        <w:tc>
          <w:tcPr>
            <w:tcW w:w="944" w:type="pct"/>
          </w:tcPr>
          <w:p w14:paraId="78C1444C" w14:textId="77777777" w:rsidR="003F39D9" w:rsidRPr="00DA6440" w:rsidRDefault="003F39D9" w:rsidP="003F39D9">
            <w:pPr>
              <w:spacing w:after="0" w:line="240" w:lineRule="auto"/>
              <w:jc w:val="center"/>
              <w:rPr>
                <w:rFonts w:ascii="Calibri" w:eastAsia="Times New Roman" w:hAnsi="Calibri" w:cs="Calibri"/>
                <w:b/>
                <w:bCs/>
                <w:kern w:val="0"/>
                <w:sz w:val="22"/>
                <w:szCs w:val="22"/>
                <w:lang w:eastAsia="pl-PL"/>
                <w14:ligatures w14:val="none"/>
              </w:rPr>
            </w:pPr>
          </w:p>
        </w:tc>
      </w:tr>
      <w:tr w:rsidR="00600813" w:rsidRPr="00600813" w14:paraId="7B3AD350" w14:textId="77777777" w:rsidTr="00600813">
        <w:trPr>
          <w:trHeight w:val="456"/>
        </w:trPr>
        <w:tc>
          <w:tcPr>
            <w:tcW w:w="4056" w:type="pct"/>
            <w:gridSpan w:val="2"/>
          </w:tcPr>
          <w:p w14:paraId="64EB371F" w14:textId="7B15041B" w:rsidR="00600813" w:rsidRPr="00600813" w:rsidRDefault="00600813" w:rsidP="00600813">
            <w:pPr>
              <w:spacing w:after="0" w:line="240" w:lineRule="auto"/>
              <w:rPr>
                <w:rFonts w:ascii="Calibri" w:eastAsia="Times New Roman" w:hAnsi="Calibri" w:cs="Calibri"/>
                <w:b/>
                <w:bCs/>
                <w:color w:val="000000"/>
                <w:kern w:val="0"/>
                <w:sz w:val="28"/>
                <w:szCs w:val="28"/>
                <w:lang w:eastAsia="pl-PL"/>
                <w14:ligatures w14:val="none"/>
              </w:rPr>
            </w:pPr>
            <w:r w:rsidRPr="00600813">
              <w:rPr>
                <w:rFonts w:ascii="Calibri" w:eastAsia="Times New Roman" w:hAnsi="Calibri" w:cs="Calibri"/>
                <w:b/>
                <w:bCs/>
                <w:color w:val="000000"/>
                <w:kern w:val="0"/>
                <w:sz w:val="28"/>
                <w:szCs w:val="28"/>
                <w:lang w:eastAsia="pl-PL"/>
                <w14:ligatures w14:val="none"/>
              </w:rPr>
              <w:t>Serwer realizujący zadania integracyjne</w:t>
            </w:r>
            <w:r>
              <w:rPr>
                <w:rFonts w:ascii="Calibri" w:eastAsia="Times New Roman" w:hAnsi="Calibri" w:cs="Calibri"/>
                <w:b/>
                <w:bCs/>
                <w:color w:val="000000"/>
                <w:kern w:val="0"/>
                <w:sz w:val="28"/>
                <w:szCs w:val="28"/>
                <w:lang w:eastAsia="pl-PL"/>
                <w14:ligatures w14:val="none"/>
              </w:rPr>
              <w:t xml:space="preserve"> szt. 1</w:t>
            </w:r>
          </w:p>
        </w:tc>
        <w:tc>
          <w:tcPr>
            <w:tcW w:w="944" w:type="pct"/>
          </w:tcPr>
          <w:p w14:paraId="2EAE9946" w14:textId="77777777" w:rsidR="00600813" w:rsidRPr="00600813" w:rsidRDefault="00600813" w:rsidP="00CB5148">
            <w:pPr>
              <w:spacing w:after="0" w:line="240" w:lineRule="auto"/>
              <w:jc w:val="center"/>
              <w:rPr>
                <w:rFonts w:ascii="Calibri" w:eastAsia="Times New Roman" w:hAnsi="Calibri" w:cs="Calibri"/>
                <w:b/>
                <w:bCs/>
                <w:color w:val="000000"/>
                <w:kern w:val="0"/>
                <w:sz w:val="28"/>
                <w:szCs w:val="28"/>
                <w:lang w:eastAsia="pl-PL"/>
                <w14:ligatures w14:val="none"/>
              </w:rPr>
            </w:pPr>
          </w:p>
        </w:tc>
      </w:tr>
      <w:tr w:rsidR="003F39D9" w:rsidRPr="00F946F4" w14:paraId="672343EE" w14:textId="29660395" w:rsidTr="00600813">
        <w:trPr>
          <w:trHeight w:val="113"/>
        </w:trPr>
        <w:tc>
          <w:tcPr>
            <w:tcW w:w="306" w:type="pct"/>
          </w:tcPr>
          <w:p w14:paraId="7AC4334E" w14:textId="77777777" w:rsidR="003F39D9" w:rsidRPr="00DA6440" w:rsidRDefault="003F39D9" w:rsidP="00827561">
            <w:pPr>
              <w:pStyle w:val="Akapitzlist"/>
              <w:numPr>
                <w:ilvl w:val="0"/>
                <w:numId w:val="27"/>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06C874B9" w14:textId="106B5EF3" w:rsidR="003F39D9" w:rsidRPr="002077B5" w:rsidRDefault="003F39D9" w:rsidP="003F39D9">
            <w:pPr>
              <w:spacing w:after="0" w:line="240" w:lineRule="auto"/>
              <w:rPr>
                <w:rFonts w:ascii="Calibri" w:eastAsia="Times New Roman" w:hAnsi="Calibri" w:cs="Calibri"/>
                <w:b/>
                <w:bCs/>
                <w:kern w:val="0"/>
                <w:sz w:val="22"/>
                <w:szCs w:val="22"/>
                <w:lang w:eastAsia="pl-PL"/>
                <w14:ligatures w14:val="none"/>
              </w:rPr>
            </w:pPr>
            <w:r w:rsidRPr="002077B5">
              <w:rPr>
                <w:rFonts w:ascii="Calibri" w:eastAsia="Times New Roman" w:hAnsi="Calibri" w:cs="Calibri"/>
                <w:b/>
                <w:bCs/>
                <w:kern w:val="0"/>
                <w:sz w:val="22"/>
                <w:szCs w:val="22"/>
                <w:lang w:eastAsia="pl-PL"/>
                <w14:ligatures w14:val="none"/>
              </w:rPr>
              <w:t xml:space="preserve">Wymagania dla serwera </w:t>
            </w:r>
            <w:r>
              <w:rPr>
                <w:rFonts w:ascii="Calibri" w:eastAsia="Times New Roman" w:hAnsi="Calibri" w:cs="Calibri"/>
                <w:b/>
                <w:bCs/>
                <w:kern w:val="0"/>
                <w:sz w:val="22"/>
                <w:szCs w:val="22"/>
                <w:lang w:eastAsia="pl-PL"/>
                <w14:ligatures w14:val="none"/>
              </w:rPr>
              <w:t>aplikacyjno-integracyjnego</w:t>
            </w:r>
            <w:r w:rsidR="00600813">
              <w:rPr>
                <w:rFonts w:ascii="Calibri" w:eastAsia="Times New Roman" w:hAnsi="Calibri" w:cs="Calibri"/>
                <w:b/>
                <w:bCs/>
                <w:kern w:val="0"/>
                <w:sz w:val="22"/>
                <w:szCs w:val="22"/>
                <w:lang w:eastAsia="pl-PL"/>
                <w14:ligatures w14:val="none"/>
              </w:rPr>
              <w:t>:</w:t>
            </w:r>
          </w:p>
          <w:p w14:paraId="6200D1D6" w14:textId="64A9F1B4"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Wykonawca zobowiązany jest zapewnić serwer przeznaczony do zbierania danych z urządzeń oraz realizacji integracji, spełniający co najmniej następujące wymagania:</w:t>
            </w:r>
          </w:p>
          <w:p w14:paraId="547ED9C7" w14:textId="77777777" w:rsidR="003F39D9" w:rsidRPr="002077B5"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10 rdzeni procesora,</w:t>
            </w:r>
          </w:p>
          <w:p w14:paraId="21759BBC" w14:textId="77777777" w:rsidR="003F39D9" w:rsidRPr="002077B5"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16 GB pamięci RAM,</w:t>
            </w:r>
          </w:p>
          <w:p w14:paraId="37E4391D" w14:textId="77777777" w:rsidR="003F39D9" w:rsidRPr="002077B5"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 xml:space="preserve">co najmniej 2 interfejsy sieciowe 1 </w:t>
            </w:r>
            <w:proofErr w:type="spellStart"/>
            <w:r w:rsidRPr="002077B5">
              <w:rPr>
                <w:rFonts w:ascii="Calibri" w:eastAsia="Times New Roman" w:hAnsi="Calibri" w:cs="Calibri"/>
                <w:kern w:val="0"/>
                <w:sz w:val="22"/>
                <w:szCs w:val="22"/>
                <w:lang w:eastAsia="pl-PL"/>
                <w14:ligatures w14:val="none"/>
              </w:rPr>
              <w:t>Gb</w:t>
            </w:r>
            <w:proofErr w:type="spellEnd"/>
            <w:r w:rsidRPr="002077B5">
              <w:rPr>
                <w:rFonts w:ascii="Calibri" w:eastAsia="Times New Roman" w:hAnsi="Calibri" w:cs="Calibri"/>
                <w:kern w:val="0"/>
                <w:sz w:val="22"/>
                <w:szCs w:val="22"/>
                <w:lang w:eastAsia="pl-PL"/>
                <w14:ligatures w14:val="none"/>
              </w:rPr>
              <w:t>,</w:t>
            </w:r>
          </w:p>
          <w:p w14:paraId="496FE1C1" w14:textId="77777777" w:rsidR="003F39D9" w:rsidRPr="002077B5"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zasilanie redundantne,</w:t>
            </w:r>
          </w:p>
          <w:p w14:paraId="6434893F" w14:textId="77777777" w:rsidR="003F39D9" w:rsidRPr="002077B5"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redundantne wentylatory,</w:t>
            </w:r>
          </w:p>
          <w:p w14:paraId="4E821173" w14:textId="77067D40" w:rsidR="003F39D9" w:rsidRDefault="003F39D9" w:rsidP="003F39D9">
            <w:pPr>
              <w:numPr>
                <w:ilvl w:val="0"/>
                <w:numId w:val="5"/>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minimum 300 GB pamięci lokalnej dla systemu operacyjnego, z redundancją</w:t>
            </w:r>
            <w:r>
              <w:rPr>
                <w:rFonts w:ascii="Calibri" w:eastAsia="Times New Roman" w:hAnsi="Calibri" w:cs="Calibri"/>
                <w:kern w:val="0"/>
                <w:sz w:val="22"/>
                <w:szCs w:val="22"/>
                <w:lang w:eastAsia="pl-PL"/>
                <w14:ligatures w14:val="none"/>
              </w:rPr>
              <w:t xml:space="preserve"> (RAID </w:t>
            </w:r>
            <w:r w:rsidR="00273A27">
              <w:rPr>
                <w:rFonts w:ascii="Calibri" w:eastAsia="Times New Roman" w:hAnsi="Calibri" w:cs="Calibri"/>
                <w:kern w:val="0"/>
                <w:sz w:val="22"/>
                <w:szCs w:val="22"/>
                <w:lang w:eastAsia="pl-PL"/>
                <w14:ligatures w14:val="none"/>
              </w:rPr>
              <w:t>5</w:t>
            </w:r>
            <w:r>
              <w:rPr>
                <w:rFonts w:ascii="Calibri" w:eastAsia="Times New Roman" w:hAnsi="Calibri" w:cs="Calibri"/>
                <w:kern w:val="0"/>
                <w:sz w:val="22"/>
                <w:szCs w:val="22"/>
                <w:lang w:eastAsia="pl-PL"/>
                <w14:ligatures w14:val="none"/>
              </w:rPr>
              <w:t>)</w:t>
            </w:r>
          </w:p>
          <w:p w14:paraId="4873E349" w14:textId="77777777"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W zakresie oprogramowania serwer musi współpracować co najmniej z:</w:t>
            </w:r>
          </w:p>
          <w:p w14:paraId="20E33F0A" w14:textId="77777777" w:rsidR="003F39D9" w:rsidRPr="002077B5" w:rsidRDefault="003F39D9" w:rsidP="003F39D9">
            <w:pPr>
              <w:numPr>
                <w:ilvl w:val="0"/>
                <w:numId w:val="6"/>
              </w:numPr>
              <w:spacing w:after="0" w:line="240" w:lineRule="auto"/>
              <w:rPr>
                <w:rFonts w:ascii="Calibri" w:eastAsia="Times New Roman" w:hAnsi="Calibri" w:cs="Calibri"/>
                <w:kern w:val="0"/>
                <w:sz w:val="22"/>
                <w:szCs w:val="22"/>
                <w:lang w:val="en-US" w:eastAsia="pl-PL"/>
                <w14:ligatures w14:val="none"/>
              </w:rPr>
            </w:pPr>
            <w:r w:rsidRPr="002077B5">
              <w:rPr>
                <w:rFonts w:ascii="Calibri" w:eastAsia="Times New Roman" w:hAnsi="Calibri" w:cs="Calibri"/>
                <w:kern w:val="0"/>
                <w:sz w:val="22"/>
                <w:szCs w:val="22"/>
                <w:lang w:val="en-US" w:eastAsia="pl-PL"/>
                <w14:ligatures w14:val="none"/>
              </w:rPr>
              <w:t xml:space="preserve">Microsoft Windows Server Standard Edition 2019 </w:t>
            </w:r>
            <w:proofErr w:type="spellStart"/>
            <w:r w:rsidRPr="002077B5">
              <w:rPr>
                <w:rFonts w:ascii="Calibri" w:eastAsia="Times New Roman" w:hAnsi="Calibri" w:cs="Calibri"/>
                <w:kern w:val="0"/>
                <w:sz w:val="22"/>
                <w:szCs w:val="22"/>
                <w:lang w:val="en-US" w:eastAsia="pl-PL"/>
                <w14:ligatures w14:val="none"/>
              </w:rPr>
              <w:t>lub</w:t>
            </w:r>
            <w:proofErr w:type="spellEnd"/>
            <w:r w:rsidRPr="002077B5">
              <w:rPr>
                <w:rFonts w:ascii="Calibri" w:eastAsia="Times New Roman" w:hAnsi="Calibri" w:cs="Calibri"/>
                <w:kern w:val="0"/>
                <w:sz w:val="22"/>
                <w:szCs w:val="22"/>
                <w:lang w:val="en-US" w:eastAsia="pl-PL"/>
                <w14:ligatures w14:val="none"/>
              </w:rPr>
              <w:t xml:space="preserve"> 2022,</w:t>
            </w:r>
          </w:p>
          <w:p w14:paraId="48F61C1A" w14:textId="77777777" w:rsidR="003F39D9" w:rsidRDefault="003F39D9" w:rsidP="003F39D9">
            <w:pPr>
              <w:numPr>
                <w:ilvl w:val="0"/>
                <w:numId w:val="6"/>
              </w:num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opcjonalnie Microsoft Office 2013 / 2016 / 2019 / 2022 w wersji 32-bit,</w:t>
            </w:r>
          </w:p>
          <w:p w14:paraId="24B48E1D" w14:textId="77777777" w:rsidR="003F39D9" w:rsidRPr="000019B7" w:rsidRDefault="003F39D9" w:rsidP="003F39D9">
            <w:pPr>
              <w:numPr>
                <w:ilvl w:val="0"/>
                <w:numId w:val="6"/>
              </w:numPr>
              <w:spacing w:after="0" w:line="240" w:lineRule="auto"/>
              <w:rPr>
                <w:rFonts w:ascii="Calibri" w:eastAsia="Times New Roman" w:hAnsi="Calibri" w:cs="Calibri"/>
                <w:kern w:val="0"/>
                <w:sz w:val="22"/>
                <w:szCs w:val="22"/>
                <w:lang w:eastAsia="pl-PL"/>
                <w14:ligatures w14:val="none"/>
              </w:rPr>
            </w:pPr>
            <w:r w:rsidRPr="00F946F4">
              <w:rPr>
                <w:rFonts w:ascii="Calibri" w:eastAsia="Times New Roman" w:hAnsi="Calibri" w:cs="Calibri"/>
                <w:kern w:val="0"/>
                <w:sz w:val="22"/>
                <w:szCs w:val="22"/>
                <w:lang w:eastAsia="pl-PL"/>
                <w14:ligatures w14:val="none"/>
              </w:rPr>
              <w:t xml:space="preserve">opcjonalnie środowiskiem wirtualnym </w:t>
            </w:r>
            <w:r>
              <w:rPr>
                <w:rFonts w:ascii="Calibri" w:eastAsia="Times New Roman" w:hAnsi="Calibri" w:cs="Calibri"/>
                <w:kern w:val="0"/>
                <w:sz w:val="22"/>
                <w:szCs w:val="22"/>
                <w:lang w:eastAsia="pl-PL"/>
                <w14:ligatures w14:val="none"/>
              </w:rPr>
              <w:t xml:space="preserve">min. </w:t>
            </w:r>
            <w:proofErr w:type="spellStart"/>
            <w:r w:rsidRPr="000019B7">
              <w:rPr>
                <w:rFonts w:ascii="Calibri" w:eastAsia="Times New Roman" w:hAnsi="Calibri" w:cs="Calibri"/>
                <w:kern w:val="0"/>
                <w:sz w:val="22"/>
                <w:szCs w:val="22"/>
                <w:lang w:eastAsia="pl-PL"/>
                <w14:ligatures w14:val="none"/>
              </w:rPr>
              <w:t>VMware</w:t>
            </w:r>
            <w:proofErr w:type="spellEnd"/>
            <w:r w:rsidRPr="000019B7">
              <w:rPr>
                <w:rFonts w:ascii="Calibri" w:eastAsia="Times New Roman" w:hAnsi="Calibri" w:cs="Calibri"/>
                <w:kern w:val="0"/>
                <w:sz w:val="22"/>
                <w:szCs w:val="22"/>
                <w:lang w:eastAsia="pl-PL"/>
                <w14:ligatures w14:val="none"/>
              </w:rPr>
              <w:t xml:space="preserve"> </w:t>
            </w:r>
            <w:proofErr w:type="spellStart"/>
            <w:r w:rsidRPr="000019B7">
              <w:rPr>
                <w:rFonts w:ascii="Calibri" w:eastAsia="Times New Roman" w:hAnsi="Calibri" w:cs="Calibri"/>
                <w:kern w:val="0"/>
                <w:sz w:val="22"/>
                <w:szCs w:val="22"/>
                <w:lang w:eastAsia="pl-PL"/>
                <w14:ligatures w14:val="none"/>
              </w:rPr>
              <w:t>vSphere</w:t>
            </w:r>
            <w:proofErr w:type="spellEnd"/>
            <w:r w:rsidRPr="000019B7">
              <w:rPr>
                <w:rFonts w:ascii="Calibri" w:eastAsia="Times New Roman" w:hAnsi="Calibri" w:cs="Calibri"/>
                <w:kern w:val="0"/>
                <w:sz w:val="22"/>
                <w:szCs w:val="22"/>
                <w:lang w:eastAsia="pl-PL"/>
                <w14:ligatures w14:val="none"/>
              </w:rPr>
              <w:t xml:space="preserve"> </w:t>
            </w:r>
            <w:r w:rsidRPr="000019B7">
              <w:rPr>
                <w:rFonts w:ascii="Calibri" w:eastAsia="Times New Roman" w:hAnsi="Calibri" w:cs="Calibri"/>
                <w:kern w:val="0"/>
                <w:sz w:val="22"/>
                <w:szCs w:val="22"/>
                <w:lang w:eastAsia="pl-PL"/>
                <w14:ligatures w14:val="none"/>
              </w:rPr>
              <w:lastRenderedPageBreak/>
              <w:t>Standard Edition, Microsoft Hyper-V.</w:t>
            </w:r>
          </w:p>
          <w:p w14:paraId="1AE28A12" w14:textId="77777777" w:rsidR="003F39D9" w:rsidRDefault="003F39D9" w:rsidP="003F39D9">
            <w:pPr>
              <w:spacing w:after="0" w:line="240" w:lineRule="auto"/>
              <w:rPr>
                <w:rFonts w:ascii="Calibri" w:eastAsia="Times New Roman" w:hAnsi="Calibri" w:cs="Calibri"/>
                <w:kern w:val="0"/>
                <w:sz w:val="22"/>
                <w:szCs w:val="22"/>
                <w:lang w:eastAsia="pl-PL"/>
                <w14:ligatures w14:val="none"/>
              </w:rPr>
            </w:pPr>
            <w:r w:rsidRPr="002077B5">
              <w:rPr>
                <w:rFonts w:ascii="Calibri" w:eastAsia="Times New Roman" w:hAnsi="Calibri" w:cs="Calibri"/>
                <w:kern w:val="0"/>
                <w:sz w:val="22"/>
                <w:szCs w:val="22"/>
                <w:lang w:eastAsia="pl-PL"/>
                <w14:ligatures w14:val="none"/>
              </w:rPr>
              <w:t xml:space="preserve">W </w:t>
            </w:r>
            <w:r>
              <w:rPr>
                <w:rFonts w:ascii="Calibri" w:eastAsia="Times New Roman" w:hAnsi="Calibri" w:cs="Calibri"/>
                <w:kern w:val="0"/>
                <w:sz w:val="22"/>
                <w:szCs w:val="22"/>
                <w:lang w:eastAsia="pl-PL"/>
                <w14:ligatures w14:val="none"/>
              </w:rPr>
              <w:t>ramach serwera Wykonawca zapewnia licencje na system.</w:t>
            </w:r>
          </w:p>
          <w:p w14:paraId="48ADECB9" w14:textId="77777777" w:rsidR="003F39D9" w:rsidRDefault="003F39D9" w:rsidP="003F39D9">
            <w:pPr>
              <w:spacing w:after="0" w:line="240" w:lineRule="auto"/>
              <w:rPr>
                <w:rFonts w:ascii="Calibri" w:eastAsia="Times New Roman" w:hAnsi="Calibri" w:cs="Calibri"/>
                <w:kern w:val="0"/>
                <w:sz w:val="22"/>
                <w:szCs w:val="22"/>
                <w:lang w:eastAsia="pl-PL"/>
                <w14:ligatures w14:val="none"/>
              </w:rPr>
            </w:pPr>
            <w:r w:rsidRPr="00F946F4">
              <w:rPr>
                <w:rFonts w:ascii="Calibri" w:eastAsia="Times New Roman" w:hAnsi="Calibri" w:cs="Calibri"/>
                <w:kern w:val="0"/>
                <w:sz w:val="22"/>
                <w:szCs w:val="22"/>
                <w:lang w:eastAsia="pl-PL"/>
                <w14:ligatures w14:val="none"/>
              </w:rPr>
              <w:t>Serwer musi być fabrycznie nowy i pochodzić z oficjalnego kanału dystrybucyjnego w UE – wymagane oświadczenie wykonawcy lub producenta</w:t>
            </w:r>
            <w:r>
              <w:rPr>
                <w:rFonts w:ascii="Calibri" w:eastAsia="Times New Roman" w:hAnsi="Calibri" w:cs="Calibri"/>
                <w:kern w:val="0"/>
                <w:sz w:val="22"/>
                <w:szCs w:val="22"/>
                <w:lang w:eastAsia="pl-PL"/>
                <w14:ligatures w14:val="none"/>
              </w:rPr>
              <w:t>.</w:t>
            </w:r>
          </w:p>
          <w:p w14:paraId="046D60CF" w14:textId="2E4F9F43" w:rsidR="003F39D9" w:rsidRPr="002077B5" w:rsidRDefault="003F39D9" w:rsidP="003F39D9">
            <w:pPr>
              <w:spacing w:after="0" w:line="240" w:lineRule="auto"/>
              <w:rPr>
                <w:rFonts w:ascii="Calibri" w:eastAsia="Times New Roman" w:hAnsi="Calibri" w:cs="Calibri"/>
                <w:kern w:val="0"/>
                <w:sz w:val="22"/>
                <w:szCs w:val="22"/>
                <w:lang w:eastAsia="pl-PL"/>
                <w14:ligatures w14:val="none"/>
              </w:rPr>
            </w:pPr>
            <w:r w:rsidRPr="0005718E">
              <w:rPr>
                <w:rFonts w:ascii="Calibri" w:eastAsia="Times New Roman" w:hAnsi="Calibri" w:cs="Calibri"/>
                <w:kern w:val="0"/>
                <w:sz w:val="22"/>
                <w:szCs w:val="22"/>
                <w:lang w:eastAsia="pl-PL"/>
                <w14:ligatures w14:val="none"/>
              </w:rPr>
              <w:t>Minimum 36 miesięcy gwarancji producenta, serwis świadczony przez producenta lub autoryzowany serwis producenta w miejscu instalacji sprzętu.</w:t>
            </w:r>
          </w:p>
          <w:p w14:paraId="53F1324B" w14:textId="30FC3D08" w:rsidR="003F39D9" w:rsidRPr="00F946F4" w:rsidRDefault="003F39D9" w:rsidP="003F39D9">
            <w:pPr>
              <w:spacing w:after="0" w:line="240" w:lineRule="auto"/>
              <w:rPr>
                <w:rFonts w:ascii="Calibri" w:eastAsia="Times New Roman" w:hAnsi="Calibri" w:cs="Calibri"/>
                <w:kern w:val="0"/>
                <w:sz w:val="22"/>
                <w:szCs w:val="22"/>
                <w:lang w:eastAsia="pl-PL"/>
                <w14:ligatures w14:val="none"/>
              </w:rPr>
            </w:pPr>
          </w:p>
        </w:tc>
        <w:tc>
          <w:tcPr>
            <w:tcW w:w="944" w:type="pct"/>
          </w:tcPr>
          <w:p w14:paraId="49A43B3A" w14:textId="77777777" w:rsidR="003F39D9" w:rsidRPr="00F946F4" w:rsidRDefault="003F39D9" w:rsidP="003F39D9">
            <w:pPr>
              <w:spacing w:after="0" w:line="240" w:lineRule="auto"/>
              <w:jc w:val="center"/>
              <w:rPr>
                <w:rFonts w:ascii="Calibri" w:eastAsia="Times New Roman" w:hAnsi="Calibri" w:cs="Calibri"/>
                <w:b/>
                <w:bCs/>
                <w:kern w:val="0"/>
                <w:sz w:val="22"/>
                <w:szCs w:val="22"/>
                <w:lang w:eastAsia="pl-PL"/>
                <w14:ligatures w14:val="none"/>
              </w:rPr>
            </w:pPr>
          </w:p>
        </w:tc>
      </w:tr>
    </w:tbl>
    <w:p w14:paraId="10CB66DD" w14:textId="77777777" w:rsidR="00600813" w:rsidRDefault="00600813" w:rsidP="00600813">
      <w:pPr>
        <w:rPr>
          <w:rFonts w:ascii="Calibri" w:eastAsia="Times New Roman" w:hAnsi="Calibri" w:cs="Calibri"/>
          <w:b/>
          <w:bCs/>
          <w:color w:val="000001"/>
          <w:kern w:val="0"/>
          <w:sz w:val="32"/>
          <w:szCs w:val="32"/>
          <w:lang w:eastAsia="pl-PL"/>
          <w14:ligatures w14:val="none"/>
        </w:rPr>
      </w:pPr>
    </w:p>
    <w:p w14:paraId="5EBA6907" w14:textId="77777777" w:rsidR="00827561" w:rsidRDefault="00827561">
      <w:pPr>
        <w:rPr>
          <w:rFonts w:ascii="Calibri" w:eastAsia="Times New Roman" w:hAnsi="Calibri" w:cs="Calibri"/>
          <w:b/>
          <w:bCs/>
          <w:color w:val="000001"/>
          <w:kern w:val="0"/>
          <w:sz w:val="32"/>
          <w:szCs w:val="32"/>
          <w:lang w:eastAsia="pl-PL"/>
          <w14:ligatures w14:val="none"/>
        </w:rPr>
      </w:pPr>
      <w:r>
        <w:rPr>
          <w:rFonts w:ascii="Calibri" w:eastAsia="Times New Roman" w:hAnsi="Calibri" w:cs="Calibri"/>
          <w:b/>
          <w:bCs/>
          <w:color w:val="000001"/>
          <w:kern w:val="0"/>
          <w:sz w:val="32"/>
          <w:szCs w:val="32"/>
          <w:lang w:eastAsia="pl-PL"/>
          <w14:ligatures w14:val="none"/>
        </w:rPr>
        <w:br w:type="page"/>
      </w:r>
    </w:p>
    <w:p w14:paraId="45BC9779" w14:textId="36C92C6F" w:rsidR="00600813" w:rsidRDefault="00600813" w:rsidP="00600813">
      <w:r w:rsidRPr="00087E31">
        <w:rPr>
          <w:rFonts w:ascii="Calibri" w:eastAsia="Times New Roman" w:hAnsi="Calibri" w:cs="Calibri"/>
          <w:b/>
          <w:bCs/>
          <w:color w:val="000001"/>
          <w:kern w:val="0"/>
          <w:sz w:val="32"/>
          <w:szCs w:val="32"/>
          <w:lang w:eastAsia="pl-PL"/>
          <w14:ligatures w14:val="none"/>
        </w:rPr>
        <w:lastRenderedPageBreak/>
        <w:t>S</w:t>
      </w:r>
      <w:r>
        <w:rPr>
          <w:rFonts w:ascii="Calibri" w:eastAsia="Times New Roman" w:hAnsi="Calibri" w:cs="Calibri"/>
          <w:b/>
          <w:bCs/>
          <w:color w:val="000001"/>
          <w:kern w:val="0"/>
          <w:sz w:val="32"/>
          <w:szCs w:val="32"/>
          <w:lang w:eastAsia="pl-PL"/>
          <w14:ligatures w14:val="none"/>
        </w:rPr>
        <w:t>tacja robocze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6908"/>
        <w:gridCol w:w="1739"/>
      </w:tblGrid>
      <w:tr w:rsidR="003F39D9" w:rsidRPr="00600813" w14:paraId="3CEC43AE" w14:textId="3C810094" w:rsidTr="00600813">
        <w:trPr>
          <w:trHeight w:val="226"/>
        </w:trPr>
        <w:tc>
          <w:tcPr>
            <w:tcW w:w="4056" w:type="pct"/>
            <w:gridSpan w:val="2"/>
          </w:tcPr>
          <w:p w14:paraId="0F2C98BD" w14:textId="20947E00" w:rsidR="003F39D9" w:rsidRPr="00600813" w:rsidRDefault="003F39D9" w:rsidP="00600813">
            <w:pPr>
              <w:spacing w:after="0" w:line="240" w:lineRule="auto"/>
              <w:rPr>
                <w:rFonts w:ascii="Calibri" w:eastAsia="Times New Roman" w:hAnsi="Calibri" w:cs="Calibri"/>
                <w:b/>
                <w:bCs/>
                <w:color w:val="000000"/>
                <w:kern w:val="0"/>
                <w:sz w:val="28"/>
                <w:szCs w:val="28"/>
                <w:lang w:eastAsia="pl-PL"/>
                <w14:ligatures w14:val="none"/>
              </w:rPr>
            </w:pPr>
            <w:r w:rsidRPr="00600813">
              <w:rPr>
                <w:rFonts w:ascii="Calibri" w:eastAsia="Times New Roman" w:hAnsi="Calibri" w:cs="Calibri"/>
                <w:b/>
                <w:bCs/>
                <w:color w:val="000000"/>
                <w:kern w:val="0"/>
                <w:sz w:val="28"/>
                <w:szCs w:val="28"/>
                <w:lang w:eastAsia="pl-PL"/>
                <w14:ligatures w14:val="none"/>
              </w:rPr>
              <w:t>Stacje robocze szt. 7</w:t>
            </w:r>
          </w:p>
        </w:tc>
        <w:tc>
          <w:tcPr>
            <w:tcW w:w="944" w:type="pct"/>
          </w:tcPr>
          <w:p w14:paraId="3C0005CF" w14:textId="77777777" w:rsidR="003F39D9" w:rsidRPr="00600813" w:rsidRDefault="003F39D9" w:rsidP="00600813">
            <w:pPr>
              <w:spacing w:after="0" w:line="240" w:lineRule="auto"/>
              <w:rPr>
                <w:rFonts w:ascii="Calibri" w:eastAsia="Times New Roman" w:hAnsi="Calibri" w:cs="Calibri"/>
                <w:b/>
                <w:bCs/>
                <w:color w:val="000000"/>
                <w:kern w:val="0"/>
                <w:sz w:val="28"/>
                <w:szCs w:val="28"/>
                <w:lang w:eastAsia="pl-PL"/>
                <w14:ligatures w14:val="none"/>
              </w:rPr>
            </w:pPr>
          </w:p>
        </w:tc>
      </w:tr>
      <w:tr w:rsidR="003F39D9" w:rsidRPr="002077B5" w14:paraId="72915F93" w14:textId="67EB9A15" w:rsidTr="00600813">
        <w:trPr>
          <w:trHeight w:val="113"/>
        </w:trPr>
        <w:tc>
          <w:tcPr>
            <w:tcW w:w="306" w:type="pct"/>
          </w:tcPr>
          <w:p w14:paraId="4EED4CD1"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663DF949" w14:textId="090D2CD7" w:rsidR="003F39D9" w:rsidRPr="002077B5" w:rsidRDefault="003F39D9" w:rsidP="003F39D9">
            <w:pPr>
              <w:rPr>
                <w:rFonts w:ascii="Calibri" w:hAnsi="Calibri" w:cs="Calibri"/>
                <w:sz w:val="22"/>
                <w:szCs w:val="22"/>
              </w:rPr>
            </w:pPr>
            <w:r w:rsidRPr="00ED4163">
              <w:rPr>
                <w:rFonts w:ascii="Calibri" w:hAnsi="Calibri" w:cs="Calibri"/>
                <w:sz w:val="22"/>
                <w:szCs w:val="22"/>
              </w:rPr>
              <w:t>Wykonawca w zakresie postępowania musi dostarczyć, zainstalować i uruchomić komputery do obsług</w:t>
            </w:r>
            <w:r>
              <w:rPr>
                <w:rFonts w:ascii="Calibri" w:hAnsi="Calibri" w:cs="Calibri"/>
                <w:sz w:val="22"/>
                <w:szCs w:val="22"/>
              </w:rPr>
              <w:t>i</w:t>
            </w:r>
            <w:r w:rsidRPr="00ED4163">
              <w:rPr>
                <w:rFonts w:ascii="Calibri" w:hAnsi="Calibri" w:cs="Calibri"/>
                <w:sz w:val="22"/>
                <w:szCs w:val="22"/>
              </w:rPr>
              <w:t xml:space="preserve"> syst</w:t>
            </w:r>
            <w:r>
              <w:rPr>
                <w:rFonts w:ascii="Calibri" w:hAnsi="Calibri" w:cs="Calibri"/>
                <w:sz w:val="22"/>
                <w:szCs w:val="22"/>
              </w:rPr>
              <w:t>e</w:t>
            </w:r>
            <w:r w:rsidRPr="00ED4163">
              <w:rPr>
                <w:rFonts w:ascii="Calibri" w:hAnsi="Calibri" w:cs="Calibri"/>
                <w:sz w:val="22"/>
                <w:szCs w:val="22"/>
              </w:rPr>
              <w:t xml:space="preserve">mu. W tym celu do każdego komputera należy przewidzieć uchwyty mocujące do kolumny, aparatu do znieczulenia, pomostu lub na ścianie, w zależności od miejsca użytkowania (sale operacyjne/sale </w:t>
            </w:r>
            <w:proofErr w:type="spellStart"/>
            <w:r w:rsidRPr="00ED4163">
              <w:rPr>
                <w:rFonts w:ascii="Calibri" w:hAnsi="Calibri" w:cs="Calibri"/>
                <w:sz w:val="22"/>
                <w:szCs w:val="22"/>
              </w:rPr>
              <w:t>wybudzeń</w:t>
            </w:r>
            <w:proofErr w:type="spellEnd"/>
            <w:r w:rsidRPr="00ED4163">
              <w:rPr>
                <w:rFonts w:ascii="Calibri" w:hAnsi="Calibri" w:cs="Calibri"/>
                <w:sz w:val="22"/>
                <w:szCs w:val="22"/>
              </w:rPr>
              <w:t>)</w:t>
            </w:r>
            <w:r>
              <w:rPr>
                <w:rFonts w:ascii="Calibri" w:hAnsi="Calibri" w:cs="Calibri"/>
                <w:sz w:val="22"/>
                <w:szCs w:val="22"/>
              </w:rPr>
              <w:t>.</w:t>
            </w:r>
          </w:p>
        </w:tc>
        <w:tc>
          <w:tcPr>
            <w:tcW w:w="944" w:type="pct"/>
          </w:tcPr>
          <w:p w14:paraId="54830732" w14:textId="77777777" w:rsidR="003F39D9" w:rsidRPr="00ED4163" w:rsidRDefault="003F39D9" w:rsidP="003F39D9">
            <w:pPr>
              <w:jc w:val="center"/>
              <w:rPr>
                <w:rFonts w:ascii="Calibri" w:hAnsi="Calibri" w:cs="Calibri"/>
                <w:sz w:val="22"/>
                <w:szCs w:val="22"/>
              </w:rPr>
            </w:pPr>
          </w:p>
        </w:tc>
      </w:tr>
      <w:tr w:rsidR="003F39D9" w:rsidRPr="002077B5" w14:paraId="079E38BC" w14:textId="41B7F4C3" w:rsidTr="00600813">
        <w:trPr>
          <w:trHeight w:val="113"/>
        </w:trPr>
        <w:tc>
          <w:tcPr>
            <w:tcW w:w="306" w:type="pct"/>
          </w:tcPr>
          <w:p w14:paraId="4E0C91F2"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5347E161" w14:textId="79B4709F" w:rsidR="003F39D9" w:rsidRPr="002077B5" w:rsidRDefault="003F39D9" w:rsidP="003F39D9">
            <w:pPr>
              <w:rPr>
                <w:rFonts w:ascii="Calibri" w:hAnsi="Calibri" w:cs="Calibri"/>
                <w:sz w:val="22"/>
                <w:szCs w:val="22"/>
              </w:rPr>
            </w:pPr>
            <w:r w:rsidRPr="00ED4163">
              <w:rPr>
                <w:rFonts w:ascii="Calibri" w:hAnsi="Calibri" w:cs="Calibri"/>
                <w:sz w:val="22"/>
                <w:szCs w:val="22"/>
              </w:rPr>
              <w:t xml:space="preserve">Komputer typu AIO min. IP65 </w:t>
            </w:r>
            <w:r>
              <w:rPr>
                <w:rFonts w:ascii="Calibri" w:hAnsi="Calibri" w:cs="Calibri"/>
                <w:sz w:val="22"/>
                <w:szCs w:val="22"/>
              </w:rPr>
              <w:t xml:space="preserve">min 20” </w:t>
            </w:r>
            <w:r w:rsidRPr="00ED4163">
              <w:rPr>
                <w:rFonts w:ascii="Calibri" w:hAnsi="Calibri" w:cs="Calibri"/>
                <w:sz w:val="22"/>
                <w:szCs w:val="22"/>
              </w:rPr>
              <w:t>dla panelu przedniego. Z uwagi na</w:t>
            </w:r>
            <w:r>
              <w:rPr>
                <w:rFonts w:ascii="Calibri" w:hAnsi="Calibri" w:cs="Calibri"/>
                <w:sz w:val="22"/>
                <w:szCs w:val="22"/>
              </w:rPr>
              <w:t xml:space="preserve"> </w:t>
            </w:r>
            <w:r w:rsidRPr="00ED4163">
              <w:rPr>
                <w:rFonts w:ascii="Calibri" w:hAnsi="Calibri" w:cs="Calibri"/>
                <w:sz w:val="22"/>
                <w:szCs w:val="22"/>
              </w:rPr>
              <w:t>środowisko pracy musi posiadać pasywne chłodzenie wszystkich komponentów. Niedozwolone jest wykorzystywanie wentylatorów, które powodują ruch powietrza.</w:t>
            </w:r>
          </w:p>
        </w:tc>
        <w:tc>
          <w:tcPr>
            <w:tcW w:w="944" w:type="pct"/>
          </w:tcPr>
          <w:p w14:paraId="4935B062" w14:textId="77777777" w:rsidR="003F39D9" w:rsidRPr="00ED4163" w:rsidRDefault="003F39D9" w:rsidP="003F39D9">
            <w:pPr>
              <w:jc w:val="center"/>
              <w:rPr>
                <w:rFonts w:ascii="Calibri" w:hAnsi="Calibri" w:cs="Calibri"/>
                <w:sz w:val="22"/>
                <w:szCs w:val="22"/>
              </w:rPr>
            </w:pPr>
          </w:p>
        </w:tc>
      </w:tr>
      <w:tr w:rsidR="003F39D9" w:rsidRPr="002077B5" w14:paraId="7ABD09DB" w14:textId="2BBC8DBF" w:rsidTr="00600813">
        <w:trPr>
          <w:trHeight w:val="113"/>
        </w:trPr>
        <w:tc>
          <w:tcPr>
            <w:tcW w:w="306" w:type="pct"/>
          </w:tcPr>
          <w:p w14:paraId="49087D22"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1F795AA2" w14:textId="0DFE9383" w:rsidR="003F39D9" w:rsidRPr="0005718E" w:rsidRDefault="003F39D9" w:rsidP="003F39D9">
            <w:pPr>
              <w:rPr>
                <w:rFonts w:ascii="Calibri" w:hAnsi="Calibri" w:cs="Calibri"/>
                <w:sz w:val="22"/>
                <w:szCs w:val="22"/>
              </w:rPr>
            </w:pPr>
            <w:r w:rsidRPr="0005718E">
              <w:rPr>
                <w:rFonts w:ascii="Calibri" w:hAnsi="Calibri" w:cs="Calibri"/>
                <w:sz w:val="22"/>
                <w:szCs w:val="22"/>
              </w:rPr>
              <w:t xml:space="preserve">Zainstalowany i aktywowany system operacyjny z wieczystą licencją w polskiej wersji językowej zapewniający dostęp do domeny użytkowanej przez Zamawiającego. Klucz systemu musi być zapisany trwale w BIOS i umożliwiać instalację systemu operacyjnego z nośnika bezpośrednio z wbudowanego złącza lub napędu lub zdalnie bez potrzeby ręcznego wpisywania klucza licencyjnego. </w:t>
            </w:r>
          </w:p>
          <w:p w14:paraId="0D96ABBB" w14:textId="6205051E" w:rsidR="003F39D9" w:rsidRPr="0005718E" w:rsidRDefault="003F39D9" w:rsidP="003F39D9">
            <w:pPr>
              <w:rPr>
                <w:rFonts w:ascii="Calibri" w:hAnsi="Calibri" w:cs="Calibri"/>
                <w:sz w:val="22"/>
                <w:szCs w:val="22"/>
              </w:rPr>
            </w:pPr>
            <w:r w:rsidRPr="0005718E">
              <w:rPr>
                <w:rFonts w:ascii="Calibri" w:hAnsi="Calibri" w:cs="Calibri"/>
                <w:sz w:val="22"/>
                <w:szCs w:val="22"/>
              </w:rPr>
              <w:t xml:space="preserve">System operacyjny w pełni będzie integrował się z istniejącą usługą Active Directory, w tym GPO (m.in. automatyzacja procesów instalacji oprogramowania). </w:t>
            </w:r>
          </w:p>
          <w:p w14:paraId="6846E538" w14:textId="6BF0E942" w:rsidR="003F39D9" w:rsidRPr="0005718E" w:rsidRDefault="003F39D9" w:rsidP="003F39D9">
            <w:pPr>
              <w:rPr>
                <w:rFonts w:ascii="Calibri" w:hAnsi="Calibri" w:cs="Calibri"/>
                <w:sz w:val="22"/>
                <w:szCs w:val="22"/>
              </w:rPr>
            </w:pPr>
            <w:r w:rsidRPr="0005718E">
              <w:rPr>
                <w:rFonts w:ascii="Calibri" w:hAnsi="Calibri" w:cs="Calibri"/>
                <w:sz w:val="22"/>
                <w:szCs w:val="22"/>
              </w:rPr>
              <w:t xml:space="preserve">System operacyjny ma pozwalać na uruchomienie i pracę z większością aplikacji biurowych dostępnych na rynku. Pełna polska wersja językowa.  </w:t>
            </w:r>
          </w:p>
          <w:p w14:paraId="02D48FB5" w14:textId="47AE2665" w:rsidR="003F39D9" w:rsidRPr="0005718E" w:rsidRDefault="003F39D9" w:rsidP="003F39D9">
            <w:pPr>
              <w:rPr>
                <w:rFonts w:ascii="Calibri" w:hAnsi="Calibri" w:cs="Calibri"/>
                <w:sz w:val="22"/>
                <w:szCs w:val="22"/>
              </w:rPr>
            </w:pPr>
            <w:r w:rsidRPr="0005718E">
              <w:rPr>
                <w:rFonts w:ascii="Calibri" w:hAnsi="Calibri" w:cs="Calibri"/>
                <w:sz w:val="22"/>
                <w:szCs w:val="22"/>
              </w:rPr>
              <w:t>Możliwość dokonywania bezpłatnych aktualizacji i poprawek w ramach wersji systemu operacyjnego poprzez Internet, mechanizmem udostępnianym przez producenta systemu.</w:t>
            </w:r>
          </w:p>
          <w:p w14:paraId="2F99B79F" w14:textId="4E894012" w:rsidR="003F39D9" w:rsidRPr="0005718E" w:rsidRDefault="003F39D9" w:rsidP="003F39D9">
            <w:pPr>
              <w:rPr>
                <w:rFonts w:ascii="Calibri" w:hAnsi="Calibri" w:cs="Calibri"/>
                <w:sz w:val="22"/>
                <w:szCs w:val="22"/>
              </w:rPr>
            </w:pPr>
            <w:r w:rsidRPr="0005718E">
              <w:rPr>
                <w:rFonts w:ascii="Calibri" w:hAnsi="Calibri" w:cs="Calibri"/>
                <w:sz w:val="22"/>
                <w:szCs w:val="22"/>
              </w:rPr>
              <w:t>Sprzęt fabrycznie nowy, oryginalnie zapakowany, bez śladów użytkowania, oznaczony logo producenta.</w:t>
            </w:r>
          </w:p>
          <w:p w14:paraId="65B563A8" w14:textId="7D3EAEE3" w:rsidR="003F39D9" w:rsidRPr="00ED4163" w:rsidRDefault="003F39D9" w:rsidP="003F39D9">
            <w:pPr>
              <w:rPr>
                <w:rFonts w:ascii="Calibri" w:hAnsi="Calibri" w:cs="Calibri"/>
                <w:sz w:val="22"/>
                <w:szCs w:val="22"/>
              </w:rPr>
            </w:pPr>
            <w:r w:rsidRPr="0005718E">
              <w:rPr>
                <w:rFonts w:ascii="Calibri" w:hAnsi="Calibri" w:cs="Calibri"/>
                <w:sz w:val="22"/>
                <w:szCs w:val="22"/>
              </w:rPr>
              <w:t>Sprzęt wyprodukowany w Europie, nie wcześniej niż w 2025 roku.</w:t>
            </w:r>
          </w:p>
        </w:tc>
        <w:tc>
          <w:tcPr>
            <w:tcW w:w="944" w:type="pct"/>
          </w:tcPr>
          <w:p w14:paraId="7B96B2AC" w14:textId="77777777" w:rsidR="003F39D9" w:rsidRPr="00ED4163" w:rsidRDefault="003F39D9" w:rsidP="003F39D9">
            <w:pPr>
              <w:jc w:val="center"/>
              <w:rPr>
                <w:rFonts w:ascii="Calibri" w:hAnsi="Calibri" w:cs="Calibri"/>
                <w:sz w:val="22"/>
                <w:szCs w:val="22"/>
              </w:rPr>
            </w:pPr>
          </w:p>
        </w:tc>
      </w:tr>
      <w:tr w:rsidR="003F39D9" w:rsidRPr="002077B5" w14:paraId="21D6EB87" w14:textId="02931E25" w:rsidTr="00600813">
        <w:trPr>
          <w:trHeight w:val="113"/>
        </w:trPr>
        <w:tc>
          <w:tcPr>
            <w:tcW w:w="306" w:type="pct"/>
          </w:tcPr>
          <w:p w14:paraId="4465FF5B"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18020DC5" w14:textId="0E1F5535" w:rsidR="000251DB" w:rsidRPr="00273A27" w:rsidRDefault="003F39D9" w:rsidP="000251DB">
            <w:pPr>
              <w:rPr>
                <w:rFonts w:ascii="Calibri" w:hAnsi="Calibri" w:cs="Calibri"/>
                <w:sz w:val="22"/>
                <w:szCs w:val="22"/>
              </w:rPr>
            </w:pPr>
            <w:r w:rsidRPr="00ED4163">
              <w:rPr>
                <w:rFonts w:ascii="Calibri" w:hAnsi="Calibri" w:cs="Calibri"/>
                <w:sz w:val="22"/>
                <w:szCs w:val="22"/>
              </w:rPr>
              <w:t xml:space="preserve">Procesor klasy x86 chłodzony pasywnie, </w:t>
            </w:r>
            <w:r w:rsidR="000251DB">
              <w:rPr>
                <w:rFonts w:ascii="Calibri" w:hAnsi="Calibri" w:cs="Calibri"/>
                <w:sz w:val="22"/>
                <w:szCs w:val="22"/>
              </w:rPr>
              <w:t>m</w:t>
            </w:r>
            <w:r w:rsidR="000251DB" w:rsidRPr="00273A27">
              <w:rPr>
                <w:rFonts w:ascii="Calibri" w:hAnsi="Calibri" w:cs="Calibri"/>
                <w:sz w:val="22"/>
                <w:szCs w:val="22"/>
              </w:rPr>
              <w:t>in. 1</w:t>
            </w:r>
            <w:r w:rsidR="00827CB1" w:rsidRPr="00273A27">
              <w:rPr>
                <w:rFonts w:ascii="Calibri" w:hAnsi="Calibri" w:cs="Calibri"/>
                <w:sz w:val="22"/>
                <w:szCs w:val="22"/>
              </w:rPr>
              <w:t>4</w:t>
            </w:r>
            <w:r w:rsidR="000251DB" w:rsidRPr="00273A27">
              <w:rPr>
                <w:rFonts w:ascii="Calibri" w:hAnsi="Calibri" w:cs="Calibri"/>
                <w:sz w:val="22"/>
                <w:szCs w:val="22"/>
              </w:rPr>
              <w:t xml:space="preserve"> rdzeni, 1</w:t>
            </w:r>
            <w:r w:rsidR="00827CB1" w:rsidRPr="00273A27">
              <w:rPr>
                <w:rFonts w:ascii="Calibri" w:hAnsi="Calibri" w:cs="Calibri"/>
                <w:sz w:val="22"/>
                <w:szCs w:val="22"/>
              </w:rPr>
              <w:t>8</w:t>
            </w:r>
            <w:r w:rsidR="000251DB" w:rsidRPr="00273A27">
              <w:rPr>
                <w:rFonts w:ascii="Calibri" w:hAnsi="Calibri" w:cs="Calibri"/>
                <w:sz w:val="22"/>
                <w:szCs w:val="22"/>
              </w:rPr>
              <w:t xml:space="preserve"> wątków, taktowanie w trybie turbo min. 4.</w:t>
            </w:r>
            <w:r w:rsidR="00827CB1" w:rsidRPr="00273A27">
              <w:rPr>
                <w:rFonts w:ascii="Calibri" w:hAnsi="Calibri" w:cs="Calibri"/>
                <w:sz w:val="22"/>
                <w:szCs w:val="22"/>
              </w:rPr>
              <w:t>5</w:t>
            </w:r>
            <w:r w:rsidR="000251DB" w:rsidRPr="00273A27">
              <w:rPr>
                <w:rFonts w:ascii="Calibri" w:hAnsi="Calibri" w:cs="Calibri"/>
                <w:sz w:val="22"/>
                <w:szCs w:val="22"/>
              </w:rPr>
              <w:t xml:space="preserve">GHz, osiągający w zaoferowanej konfiguracji w teście </w:t>
            </w:r>
            <w:proofErr w:type="spellStart"/>
            <w:r w:rsidR="000251DB" w:rsidRPr="00273A27">
              <w:rPr>
                <w:rFonts w:ascii="Calibri" w:hAnsi="Calibri" w:cs="Calibri"/>
                <w:sz w:val="22"/>
                <w:szCs w:val="22"/>
              </w:rPr>
              <w:t>PassMark</w:t>
            </w:r>
            <w:proofErr w:type="spellEnd"/>
            <w:r w:rsidR="000251DB" w:rsidRPr="00273A27">
              <w:rPr>
                <w:rFonts w:ascii="Calibri" w:hAnsi="Calibri" w:cs="Calibri"/>
                <w:sz w:val="22"/>
                <w:szCs w:val="22"/>
              </w:rPr>
              <w:t xml:space="preserve"> CPU Mark wynik min. 2</w:t>
            </w:r>
            <w:r w:rsidR="00827CB1" w:rsidRPr="00273A27">
              <w:rPr>
                <w:rFonts w:ascii="Calibri" w:hAnsi="Calibri" w:cs="Calibri"/>
                <w:sz w:val="22"/>
                <w:szCs w:val="22"/>
              </w:rPr>
              <w:t>00</w:t>
            </w:r>
            <w:r w:rsidR="000251DB" w:rsidRPr="00273A27">
              <w:rPr>
                <w:rFonts w:ascii="Calibri" w:hAnsi="Calibri" w:cs="Calibri"/>
                <w:sz w:val="22"/>
                <w:szCs w:val="22"/>
              </w:rPr>
              <w:t xml:space="preserve">00 punktów na dzień </w:t>
            </w:r>
            <w:r w:rsidR="00827CB1" w:rsidRPr="00273A27">
              <w:rPr>
                <w:rFonts w:ascii="Calibri" w:hAnsi="Calibri" w:cs="Calibri"/>
                <w:sz w:val="22"/>
                <w:szCs w:val="22"/>
              </w:rPr>
              <w:t>17</w:t>
            </w:r>
            <w:r w:rsidR="000251DB" w:rsidRPr="00273A27">
              <w:rPr>
                <w:rFonts w:ascii="Calibri" w:hAnsi="Calibri" w:cs="Calibri"/>
                <w:sz w:val="22"/>
                <w:szCs w:val="22"/>
              </w:rPr>
              <w:t>-0</w:t>
            </w:r>
            <w:r w:rsidR="00827CB1" w:rsidRPr="00273A27">
              <w:rPr>
                <w:rFonts w:ascii="Calibri" w:hAnsi="Calibri" w:cs="Calibri"/>
                <w:sz w:val="22"/>
                <w:szCs w:val="22"/>
              </w:rPr>
              <w:t>3</w:t>
            </w:r>
            <w:r w:rsidR="000251DB" w:rsidRPr="00273A27">
              <w:rPr>
                <w:rFonts w:ascii="Calibri" w:hAnsi="Calibri" w:cs="Calibri"/>
                <w:sz w:val="22"/>
                <w:szCs w:val="22"/>
              </w:rPr>
              <w:t>-202</w:t>
            </w:r>
            <w:r w:rsidR="00827CB1" w:rsidRPr="00273A27">
              <w:rPr>
                <w:rFonts w:ascii="Calibri" w:hAnsi="Calibri" w:cs="Calibri"/>
                <w:sz w:val="22"/>
                <w:szCs w:val="22"/>
              </w:rPr>
              <w:t>6</w:t>
            </w:r>
            <w:r w:rsidR="000251DB" w:rsidRPr="00273A27">
              <w:rPr>
                <w:rFonts w:ascii="Calibri" w:hAnsi="Calibri" w:cs="Calibri"/>
                <w:sz w:val="22"/>
                <w:szCs w:val="22"/>
              </w:rPr>
              <w:t xml:space="preserve"> (test załączony w pliku: </w:t>
            </w:r>
            <w:proofErr w:type="spellStart"/>
            <w:r w:rsidR="000251DB" w:rsidRPr="00273A27">
              <w:rPr>
                <w:rFonts w:ascii="Calibri" w:hAnsi="Calibri" w:cs="Calibri"/>
                <w:sz w:val="22"/>
                <w:szCs w:val="22"/>
              </w:rPr>
              <w:t>PassMark</w:t>
            </w:r>
            <w:proofErr w:type="spellEnd"/>
            <w:r w:rsidR="000251DB" w:rsidRPr="00273A27">
              <w:rPr>
                <w:rFonts w:ascii="Calibri" w:hAnsi="Calibri" w:cs="Calibri"/>
                <w:sz w:val="22"/>
                <w:szCs w:val="22"/>
              </w:rPr>
              <w:t xml:space="preserve"> Procesor 202</w:t>
            </w:r>
            <w:r w:rsidR="00827CB1" w:rsidRPr="00273A27">
              <w:rPr>
                <w:rFonts w:ascii="Calibri" w:hAnsi="Calibri" w:cs="Calibri"/>
                <w:sz w:val="22"/>
                <w:szCs w:val="22"/>
              </w:rPr>
              <w:t>6</w:t>
            </w:r>
            <w:r w:rsidR="000251DB" w:rsidRPr="00273A27">
              <w:rPr>
                <w:rFonts w:ascii="Calibri" w:hAnsi="Calibri" w:cs="Calibri"/>
                <w:sz w:val="22"/>
                <w:szCs w:val="22"/>
              </w:rPr>
              <w:t>_0</w:t>
            </w:r>
            <w:r w:rsidR="00827CB1" w:rsidRPr="00273A27">
              <w:rPr>
                <w:rFonts w:ascii="Calibri" w:hAnsi="Calibri" w:cs="Calibri"/>
                <w:sz w:val="22"/>
                <w:szCs w:val="22"/>
              </w:rPr>
              <w:t>3</w:t>
            </w:r>
            <w:r w:rsidR="000251DB" w:rsidRPr="00273A27">
              <w:rPr>
                <w:rFonts w:ascii="Calibri" w:hAnsi="Calibri" w:cs="Calibri"/>
                <w:sz w:val="22"/>
                <w:szCs w:val="22"/>
              </w:rPr>
              <w:t>_</w:t>
            </w:r>
            <w:r w:rsidR="00827CB1" w:rsidRPr="00273A27">
              <w:rPr>
                <w:rFonts w:ascii="Calibri" w:hAnsi="Calibri" w:cs="Calibri"/>
                <w:sz w:val="22"/>
                <w:szCs w:val="22"/>
              </w:rPr>
              <w:t>17</w:t>
            </w:r>
            <w:r w:rsidR="000251DB" w:rsidRPr="00273A27">
              <w:rPr>
                <w:rFonts w:ascii="Calibri" w:hAnsi="Calibri" w:cs="Calibri"/>
                <w:sz w:val="22"/>
                <w:szCs w:val="22"/>
              </w:rPr>
              <w:t xml:space="preserve">.pdf). Do oferty należy dołączyć wydruk ze strony: </w:t>
            </w:r>
            <w:hyperlink r:id="rId8" w:history="1">
              <w:r w:rsidR="000251DB" w:rsidRPr="00273A27">
                <w:rPr>
                  <w:rFonts w:ascii="Calibri" w:hAnsi="Calibri" w:cs="Calibri"/>
                  <w:sz w:val="22"/>
                  <w:szCs w:val="22"/>
                </w:rPr>
                <w:t>http://www.cpubenchmark.net</w:t>
              </w:r>
            </w:hyperlink>
            <w:r w:rsidR="000251DB" w:rsidRPr="00273A27">
              <w:rPr>
                <w:rFonts w:ascii="Calibri" w:hAnsi="Calibri" w:cs="Calibri"/>
                <w:sz w:val="22"/>
                <w:szCs w:val="22"/>
              </w:rPr>
              <w:t xml:space="preserve"> potwierdzający spełnienie wymogów</w:t>
            </w:r>
          </w:p>
        </w:tc>
        <w:tc>
          <w:tcPr>
            <w:tcW w:w="944" w:type="pct"/>
          </w:tcPr>
          <w:p w14:paraId="60F810D6" w14:textId="77777777" w:rsidR="003F39D9" w:rsidRPr="00ED4163" w:rsidRDefault="003F39D9" w:rsidP="003F39D9">
            <w:pPr>
              <w:jc w:val="center"/>
              <w:rPr>
                <w:rFonts w:ascii="Calibri" w:hAnsi="Calibri" w:cs="Calibri"/>
                <w:sz w:val="22"/>
                <w:szCs w:val="22"/>
              </w:rPr>
            </w:pPr>
          </w:p>
        </w:tc>
      </w:tr>
      <w:tr w:rsidR="003F39D9" w:rsidRPr="002077B5" w14:paraId="3ED64033" w14:textId="27AABFB5" w:rsidTr="00600813">
        <w:trPr>
          <w:trHeight w:val="113"/>
        </w:trPr>
        <w:tc>
          <w:tcPr>
            <w:tcW w:w="306" w:type="pct"/>
          </w:tcPr>
          <w:p w14:paraId="509A4C2C"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A6925A6" w14:textId="39B48E0F" w:rsidR="003F39D9" w:rsidRPr="00ED4163" w:rsidRDefault="003F39D9" w:rsidP="003F39D9">
            <w:pPr>
              <w:rPr>
                <w:rFonts w:ascii="Calibri" w:hAnsi="Calibri" w:cs="Calibri"/>
                <w:sz w:val="22"/>
                <w:szCs w:val="22"/>
              </w:rPr>
            </w:pPr>
            <w:r w:rsidRPr="00ED4163">
              <w:rPr>
                <w:rFonts w:ascii="Calibri" w:hAnsi="Calibri" w:cs="Calibri"/>
                <w:sz w:val="22"/>
                <w:szCs w:val="22"/>
              </w:rPr>
              <w:t>Dysk twardy półprzewodnikowy min. 256 GB</w:t>
            </w:r>
          </w:p>
        </w:tc>
        <w:tc>
          <w:tcPr>
            <w:tcW w:w="944" w:type="pct"/>
          </w:tcPr>
          <w:p w14:paraId="5C8944B0" w14:textId="77777777" w:rsidR="003F39D9" w:rsidRPr="00ED4163" w:rsidRDefault="003F39D9" w:rsidP="003F39D9">
            <w:pPr>
              <w:jc w:val="center"/>
              <w:rPr>
                <w:rFonts w:ascii="Calibri" w:hAnsi="Calibri" w:cs="Calibri"/>
                <w:sz w:val="22"/>
                <w:szCs w:val="22"/>
              </w:rPr>
            </w:pPr>
          </w:p>
        </w:tc>
      </w:tr>
      <w:tr w:rsidR="003F39D9" w:rsidRPr="002077B5" w14:paraId="01B682F9" w14:textId="191D0E26" w:rsidTr="00600813">
        <w:trPr>
          <w:trHeight w:val="113"/>
        </w:trPr>
        <w:tc>
          <w:tcPr>
            <w:tcW w:w="306" w:type="pct"/>
          </w:tcPr>
          <w:p w14:paraId="4C54044D"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E35D198" w14:textId="40A147D9" w:rsidR="003F39D9" w:rsidRPr="00ED4163" w:rsidRDefault="003F39D9" w:rsidP="003F39D9">
            <w:pPr>
              <w:rPr>
                <w:rFonts w:ascii="Calibri" w:hAnsi="Calibri" w:cs="Calibri"/>
                <w:sz w:val="22"/>
                <w:szCs w:val="22"/>
              </w:rPr>
            </w:pPr>
            <w:r w:rsidRPr="00ED4163">
              <w:rPr>
                <w:rFonts w:ascii="Calibri" w:hAnsi="Calibri" w:cs="Calibri"/>
                <w:sz w:val="22"/>
                <w:szCs w:val="22"/>
              </w:rPr>
              <w:t>Pamięć operacyjna min. 16GB DDR5 z możliwością rozbudowy do 32 GB</w:t>
            </w:r>
          </w:p>
        </w:tc>
        <w:tc>
          <w:tcPr>
            <w:tcW w:w="944" w:type="pct"/>
          </w:tcPr>
          <w:p w14:paraId="0AB4851A" w14:textId="77777777" w:rsidR="003F39D9" w:rsidRPr="00ED4163" w:rsidRDefault="003F39D9" w:rsidP="003F39D9">
            <w:pPr>
              <w:jc w:val="center"/>
              <w:rPr>
                <w:rFonts w:ascii="Calibri" w:hAnsi="Calibri" w:cs="Calibri"/>
                <w:sz w:val="22"/>
                <w:szCs w:val="22"/>
              </w:rPr>
            </w:pPr>
          </w:p>
        </w:tc>
      </w:tr>
      <w:tr w:rsidR="003F39D9" w:rsidRPr="002077B5" w14:paraId="4437AB0B" w14:textId="4A62D9E3" w:rsidTr="00600813">
        <w:trPr>
          <w:trHeight w:val="113"/>
        </w:trPr>
        <w:tc>
          <w:tcPr>
            <w:tcW w:w="306" w:type="pct"/>
          </w:tcPr>
          <w:p w14:paraId="5FF872E3"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595C47B4" w14:textId="6C97D210" w:rsidR="003F39D9" w:rsidRPr="00ED4163" w:rsidRDefault="003F39D9" w:rsidP="003F39D9">
            <w:pPr>
              <w:rPr>
                <w:rFonts w:ascii="Calibri" w:hAnsi="Calibri" w:cs="Calibri"/>
                <w:sz w:val="22"/>
                <w:szCs w:val="22"/>
              </w:rPr>
            </w:pPr>
            <w:r w:rsidRPr="00ED4163">
              <w:rPr>
                <w:rFonts w:ascii="Calibri" w:hAnsi="Calibri" w:cs="Calibri"/>
                <w:sz w:val="22"/>
                <w:szCs w:val="22"/>
              </w:rPr>
              <w:t xml:space="preserve">Ekran o przekątnej w zakresie 21-25", reagujący na dotyk w rękawiczkach, </w:t>
            </w:r>
            <w:r>
              <w:rPr>
                <w:rFonts w:ascii="Calibri" w:hAnsi="Calibri" w:cs="Calibri"/>
                <w:sz w:val="22"/>
                <w:szCs w:val="22"/>
              </w:rPr>
              <w:t xml:space="preserve">o </w:t>
            </w:r>
            <w:r w:rsidRPr="00ED4163">
              <w:rPr>
                <w:rFonts w:ascii="Calibri" w:hAnsi="Calibri" w:cs="Calibri"/>
                <w:sz w:val="22"/>
                <w:szCs w:val="22"/>
              </w:rPr>
              <w:t>ro</w:t>
            </w:r>
            <w:r>
              <w:rPr>
                <w:rFonts w:ascii="Calibri" w:hAnsi="Calibri" w:cs="Calibri"/>
                <w:sz w:val="22"/>
                <w:szCs w:val="22"/>
              </w:rPr>
              <w:t>z</w:t>
            </w:r>
            <w:r w:rsidRPr="00ED4163">
              <w:rPr>
                <w:rFonts w:ascii="Calibri" w:hAnsi="Calibri" w:cs="Calibri"/>
                <w:sz w:val="22"/>
                <w:szCs w:val="22"/>
              </w:rPr>
              <w:t>dzielczość min 1920x1080</w:t>
            </w:r>
          </w:p>
        </w:tc>
        <w:tc>
          <w:tcPr>
            <w:tcW w:w="944" w:type="pct"/>
          </w:tcPr>
          <w:p w14:paraId="4D4DB015" w14:textId="77777777" w:rsidR="003F39D9" w:rsidRPr="00ED4163" w:rsidRDefault="003F39D9" w:rsidP="003F39D9">
            <w:pPr>
              <w:jc w:val="center"/>
              <w:rPr>
                <w:rFonts w:ascii="Calibri" w:hAnsi="Calibri" w:cs="Calibri"/>
                <w:sz w:val="22"/>
                <w:szCs w:val="22"/>
              </w:rPr>
            </w:pPr>
          </w:p>
        </w:tc>
      </w:tr>
      <w:tr w:rsidR="003F39D9" w:rsidRPr="002077B5" w14:paraId="407576A1" w14:textId="3868EE92" w:rsidTr="00600813">
        <w:trPr>
          <w:trHeight w:val="113"/>
        </w:trPr>
        <w:tc>
          <w:tcPr>
            <w:tcW w:w="306" w:type="pct"/>
          </w:tcPr>
          <w:p w14:paraId="017BFD6E"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0CB615F8" w14:textId="1DD1814F" w:rsidR="003F39D9" w:rsidRPr="00ED4163" w:rsidRDefault="003F39D9" w:rsidP="003F39D9">
            <w:pPr>
              <w:rPr>
                <w:rFonts w:ascii="Calibri" w:hAnsi="Calibri" w:cs="Calibri"/>
                <w:sz w:val="22"/>
                <w:szCs w:val="22"/>
              </w:rPr>
            </w:pPr>
            <w:r w:rsidRPr="00ED4163">
              <w:rPr>
                <w:rFonts w:ascii="Calibri" w:hAnsi="Calibri" w:cs="Calibri"/>
                <w:sz w:val="22"/>
                <w:szCs w:val="22"/>
              </w:rPr>
              <w:t>Wbudowane głośniki i mikrofon</w:t>
            </w:r>
          </w:p>
        </w:tc>
        <w:tc>
          <w:tcPr>
            <w:tcW w:w="944" w:type="pct"/>
          </w:tcPr>
          <w:p w14:paraId="2C9521D2" w14:textId="77777777" w:rsidR="003F39D9" w:rsidRPr="00ED4163" w:rsidRDefault="003F39D9" w:rsidP="003F39D9">
            <w:pPr>
              <w:jc w:val="center"/>
              <w:rPr>
                <w:rFonts w:ascii="Calibri" w:hAnsi="Calibri" w:cs="Calibri"/>
                <w:sz w:val="22"/>
                <w:szCs w:val="22"/>
              </w:rPr>
            </w:pPr>
          </w:p>
        </w:tc>
      </w:tr>
      <w:tr w:rsidR="003F39D9" w:rsidRPr="002077B5" w14:paraId="065174E9" w14:textId="703F3367" w:rsidTr="00600813">
        <w:trPr>
          <w:trHeight w:val="113"/>
        </w:trPr>
        <w:tc>
          <w:tcPr>
            <w:tcW w:w="306" w:type="pct"/>
          </w:tcPr>
          <w:p w14:paraId="4F4E9D64"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15F8D6B4" w14:textId="55CCD7AD" w:rsidR="003F39D9" w:rsidRPr="00ED4163" w:rsidRDefault="003F39D9" w:rsidP="003F39D9">
            <w:pPr>
              <w:rPr>
                <w:rFonts w:ascii="Calibri" w:hAnsi="Calibri" w:cs="Calibri"/>
                <w:sz w:val="22"/>
                <w:szCs w:val="22"/>
              </w:rPr>
            </w:pPr>
            <w:r w:rsidRPr="00ED4163">
              <w:rPr>
                <w:rFonts w:ascii="Calibri" w:hAnsi="Calibri" w:cs="Calibri"/>
                <w:sz w:val="22"/>
                <w:szCs w:val="22"/>
              </w:rPr>
              <w:t xml:space="preserve">min. 2 x LAN RJ-45 10/100/1000 </w:t>
            </w:r>
            <w:proofErr w:type="spellStart"/>
            <w:r w:rsidRPr="00ED4163">
              <w:rPr>
                <w:rFonts w:ascii="Calibri" w:hAnsi="Calibri" w:cs="Calibri"/>
                <w:sz w:val="22"/>
                <w:szCs w:val="22"/>
              </w:rPr>
              <w:t>Mbit</w:t>
            </w:r>
            <w:proofErr w:type="spellEnd"/>
            <w:r w:rsidRPr="00ED4163">
              <w:rPr>
                <w:rFonts w:ascii="Calibri" w:hAnsi="Calibri" w:cs="Calibri"/>
                <w:sz w:val="22"/>
                <w:szCs w:val="22"/>
              </w:rPr>
              <w:t>/s (ochrona przepięciowa co najmniej 1,5 KV)</w:t>
            </w:r>
          </w:p>
        </w:tc>
        <w:tc>
          <w:tcPr>
            <w:tcW w:w="944" w:type="pct"/>
          </w:tcPr>
          <w:p w14:paraId="43A3E683" w14:textId="77777777" w:rsidR="003F39D9" w:rsidRPr="00ED4163" w:rsidRDefault="003F39D9" w:rsidP="003F39D9">
            <w:pPr>
              <w:jc w:val="center"/>
              <w:rPr>
                <w:rFonts w:ascii="Calibri" w:hAnsi="Calibri" w:cs="Calibri"/>
                <w:sz w:val="22"/>
                <w:szCs w:val="22"/>
              </w:rPr>
            </w:pPr>
          </w:p>
        </w:tc>
      </w:tr>
      <w:tr w:rsidR="003F39D9" w:rsidRPr="002077B5" w14:paraId="55E85BE1" w14:textId="01CEFF3E" w:rsidTr="00600813">
        <w:trPr>
          <w:trHeight w:val="113"/>
        </w:trPr>
        <w:tc>
          <w:tcPr>
            <w:tcW w:w="306" w:type="pct"/>
          </w:tcPr>
          <w:p w14:paraId="482DBD2E"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1DBF7B42" w14:textId="5C69730F" w:rsidR="003F39D9" w:rsidRPr="00ED4163" w:rsidRDefault="003F39D9" w:rsidP="003F39D9">
            <w:pPr>
              <w:rPr>
                <w:rFonts w:ascii="Calibri" w:hAnsi="Calibri" w:cs="Calibri"/>
                <w:sz w:val="22"/>
                <w:szCs w:val="22"/>
              </w:rPr>
            </w:pPr>
            <w:proofErr w:type="spellStart"/>
            <w:r w:rsidRPr="00ED4163">
              <w:rPr>
                <w:rFonts w:ascii="Calibri" w:hAnsi="Calibri" w:cs="Calibri"/>
                <w:sz w:val="22"/>
                <w:szCs w:val="22"/>
              </w:rPr>
              <w:t>WiFi</w:t>
            </w:r>
            <w:proofErr w:type="spellEnd"/>
            <w:r w:rsidRPr="00ED4163">
              <w:rPr>
                <w:rFonts w:ascii="Calibri" w:hAnsi="Calibri" w:cs="Calibri"/>
                <w:sz w:val="22"/>
                <w:szCs w:val="22"/>
              </w:rPr>
              <w:t xml:space="preserve"> min. 6</w:t>
            </w:r>
          </w:p>
        </w:tc>
        <w:tc>
          <w:tcPr>
            <w:tcW w:w="944" w:type="pct"/>
          </w:tcPr>
          <w:p w14:paraId="7D22A438" w14:textId="77777777" w:rsidR="003F39D9" w:rsidRPr="00ED4163" w:rsidRDefault="003F39D9" w:rsidP="003F39D9">
            <w:pPr>
              <w:jc w:val="center"/>
              <w:rPr>
                <w:rFonts w:ascii="Calibri" w:hAnsi="Calibri" w:cs="Calibri"/>
                <w:sz w:val="22"/>
                <w:szCs w:val="22"/>
              </w:rPr>
            </w:pPr>
          </w:p>
        </w:tc>
      </w:tr>
      <w:tr w:rsidR="003F39D9" w:rsidRPr="002077B5" w14:paraId="32391DA3" w14:textId="3502E91D" w:rsidTr="00600813">
        <w:trPr>
          <w:trHeight w:val="113"/>
        </w:trPr>
        <w:tc>
          <w:tcPr>
            <w:tcW w:w="306" w:type="pct"/>
          </w:tcPr>
          <w:p w14:paraId="2B9ED5DC"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077F1AF0" w14:textId="076F5796" w:rsidR="003F39D9" w:rsidRPr="00ED4163" w:rsidRDefault="003F39D9" w:rsidP="003F39D9">
            <w:pPr>
              <w:rPr>
                <w:rFonts w:ascii="Calibri" w:hAnsi="Calibri" w:cs="Calibri"/>
                <w:sz w:val="22"/>
                <w:szCs w:val="22"/>
              </w:rPr>
            </w:pPr>
            <w:r w:rsidRPr="00ED4163">
              <w:rPr>
                <w:rFonts w:ascii="Calibri" w:hAnsi="Calibri" w:cs="Calibri"/>
                <w:sz w:val="22"/>
                <w:szCs w:val="22"/>
              </w:rPr>
              <w:t>Bluetooth min. 5.2</w:t>
            </w:r>
          </w:p>
        </w:tc>
        <w:tc>
          <w:tcPr>
            <w:tcW w:w="944" w:type="pct"/>
          </w:tcPr>
          <w:p w14:paraId="4BB5D62D" w14:textId="77777777" w:rsidR="003F39D9" w:rsidRPr="00ED4163" w:rsidRDefault="003F39D9" w:rsidP="003F39D9">
            <w:pPr>
              <w:jc w:val="center"/>
              <w:rPr>
                <w:rFonts w:ascii="Calibri" w:hAnsi="Calibri" w:cs="Calibri"/>
                <w:sz w:val="22"/>
                <w:szCs w:val="22"/>
              </w:rPr>
            </w:pPr>
          </w:p>
        </w:tc>
      </w:tr>
      <w:tr w:rsidR="003F39D9" w:rsidRPr="002077B5" w14:paraId="2005BC2C" w14:textId="19E6519E" w:rsidTr="00600813">
        <w:trPr>
          <w:trHeight w:val="113"/>
        </w:trPr>
        <w:tc>
          <w:tcPr>
            <w:tcW w:w="306" w:type="pct"/>
          </w:tcPr>
          <w:p w14:paraId="32ADAD8F"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BE80B49" w14:textId="2E590B1D" w:rsidR="003F39D9" w:rsidRPr="00ED4163" w:rsidRDefault="003F39D9" w:rsidP="003F39D9">
            <w:pPr>
              <w:rPr>
                <w:rFonts w:ascii="Calibri" w:hAnsi="Calibri" w:cs="Calibri"/>
                <w:sz w:val="22"/>
                <w:szCs w:val="22"/>
              </w:rPr>
            </w:pPr>
            <w:r w:rsidRPr="00ED4163">
              <w:rPr>
                <w:rFonts w:ascii="Calibri" w:hAnsi="Calibri" w:cs="Calibri"/>
                <w:sz w:val="22"/>
                <w:szCs w:val="22"/>
              </w:rPr>
              <w:t xml:space="preserve">Wbudowane (minimum): </w:t>
            </w:r>
            <w:r w:rsidRPr="00ED4163">
              <w:rPr>
                <w:rFonts w:ascii="Calibri" w:hAnsi="Calibri" w:cs="Calibri"/>
                <w:sz w:val="22"/>
                <w:szCs w:val="22"/>
              </w:rPr>
              <w:br/>
              <w:t>- 4 x USB 3.2 typ A</w:t>
            </w:r>
            <w:r w:rsidRPr="00ED4163">
              <w:rPr>
                <w:rFonts w:ascii="Calibri" w:hAnsi="Calibri" w:cs="Calibri"/>
                <w:sz w:val="22"/>
                <w:szCs w:val="22"/>
              </w:rPr>
              <w:br/>
              <w:t xml:space="preserve">- 1 x USB 3 typ C </w:t>
            </w:r>
            <w:r w:rsidRPr="00ED4163">
              <w:rPr>
                <w:rFonts w:ascii="Calibri" w:hAnsi="Calibri" w:cs="Calibri"/>
                <w:sz w:val="22"/>
                <w:szCs w:val="22"/>
              </w:rPr>
              <w:br/>
              <w:t xml:space="preserve">- 1 x HDMI, </w:t>
            </w:r>
            <w:r w:rsidRPr="00ED4163">
              <w:rPr>
                <w:rFonts w:ascii="Calibri" w:hAnsi="Calibri" w:cs="Calibri"/>
                <w:sz w:val="22"/>
                <w:szCs w:val="22"/>
              </w:rPr>
              <w:br/>
              <w:t xml:space="preserve">- 1 x RS232, </w:t>
            </w:r>
            <w:r w:rsidRPr="00ED4163">
              <w:rPr>
                <w:rFonts w:ascii="Calibri" w:hAnsi="Calibri" w:cs="Calibri"/>
                <w:sz w:val="22"/>
                <w:szCs w:val="22"/>
              </w:rPr>
              <w:br/>
              <w:t xml:space="preserve">- 1 x </w:t>
            </w:r>
            <w:proofErr w:type="spellStart"/>
            <w:r w:rsidRPr="00ED4163">
              <w:rPr>
                <w:rFonts w:ascii="Calibri" w:hAnsi="Calibri" w:cs="Calibri"/>
                <w:sz w:val="22"/>
                <w:szCs w:val="22"/>
              </w:rPr>
              <w:t>jack</w:t>
            </w:r>
            <w:proofErr w:type="spellEnd"/>
            <w:r w:rsidRPr="00ED4163">
              <w:rPr>
                <w:rFonts w:ascii="Calibri" w:hAnsi="Calibri" w:cs="Calibri"/>
                <w:sz w:val="22"/>
                <w:szCs w:val="22"/>
              </w:rPr>
              <w:t xml:space="preserve"> na słuchawki/wejście na mikrofon (</w:t>
            </w:r>
            <w:proofErr w:type="spellStart"/>
            <w:r w:rsidRPr="00ED4163">
              <w:rPr>
                <w:rFonts w:ascii="Calibri" w:hAnsi="Calibri" w:cs="Calibri"/>
                <w:sz w:val="22"/>
                <w:szCs w:val="22"/>
              </w:rPr>
              <w:t>combo</w:t>
            </w:r>
            <w:proofErr w:type="spellEnd"/>
            <w:r w:rsidRPr="00ED4163">
              <w:rPr>
                <w:rFonts w:ascii="Calibri" w:hAnsi="Calibri" w:cs="Calibri"/>
                <w:sz w:val="22"/>
                <w:szCs w:val="22"/>
              </w:rPr>
              <w:t>).</w:t>
            </w:r>
            <w:r w:rsidRPr="00ED4163">
              <w:rPr>
                <w:rFonts w:ascii="Calibri" w:hAnsi="Calibri" w:cs="Calibri"/>
                <w:sz w:val="22"/>
                <w:szCs w:val="22"/>
              </w:rPr>
              <w:br/>
              <w:t xml:space="preserve">Wymagana ilość portów nie może być osiągnięta w wyniku stosowania konwerterów, przejściówek </w:t>
            </w:r>
            <w:r>
              <w:rPr>
                <w:rFonts w:ascii="Calibri" w:hAnsi="Calibri" w:cs="Calibri"/>
                <w:sz w:val="22"/>
                <w:szCs w:val="22"/>
              </w:rPr>
              <w:t>itp.</w:t>
            </w:r>
          </w:p>
        </w:tc>
        <w:tc>
          <w:tcPr>
            <w:tcW w:w="944" w:type="pct"/>
          </w:tcPr>
          <w:p w14:paraId="33D5E900" w14:textId="77777777" w:rsidR="003F39D9" w:rsidRPr="00ED4163" w:rsidRDefault="003F39D9" w:rsidP="003F39D9">
            <w:pPr>
              <w:jc w:val="center"/>
              <w:rPr>
                <w:rFonts w:ascii="Calibri" w:hAnsi="Calibri" w:cs="Calibri"/>
                <w:sz w:val="22"/>
                <w:szCs w:val="22"/>
              </w:rPr>
            </w:pPr>
          </w:p>
        </w:tc>
      </w:tr>
      <w:tr w:rsidR="003F39D9" w:rsidRPr="002077B5" w14:paraId="34D0EFB8" w14:textId="30586D3B" w:rsidTr="00600813">
        <w:trPr>
          <w:trHeight w:val="113"/>
        </w:trPr>
        <w:tc>
          <w:tcPr>
            <w:tcW w:w="306" w:type="pct"/>
          </w:tcPr>
          <w:p w14:paraId="7DF6E6B5"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03FDA5DE" w14:textId="2EE778DF" w:rsidR="003F39D9" w:rsidRPr="00ED4163" w:rsidRDefault="003F39D9" w:rsidP="003F39D9">
            <w:pPr>
              <w:rPr>
                <w:rFonts w:ascii="Calibri" w:hAnsi="Calibri" w:cs="Calibri"/>
                <w:sz w:val="22"/>
                <w:szCs w:val="22"/>
              </w:rPr>
            </w:pPr>
            <w:r w:rsidRPr="00ED4163">
              <w:rPr>
                <w:rFonts w:ascii="Calibri" w:hAnsi="Calibri" w:cs="Calibri"/>
                <w:sz w:val="22"/>
                <w:szCs w:val="22"/>
              </w:rPr>
              <w:t xml:space="preserve">Moduł bezpieczeństwa TPM wersji </w:t>
            </w:r>
            <w:r>
              <w:rPr>
                <w:rFonts w:ascii="Calibri" w:hAnsi="Calibri" w:cs="Calibri"/>
                <w:sz w:val="22"/>
                <w:szCs w:val="22"/>
              </w:rPr>
              <w:t xml:space="preserve">min </w:t>
            </w:r>
            <w:r w:rsidRPr="00ED4163">
              <w:rPr>
                <w:rFonts w:ascii="Calibri" w:hAnsi="Calibri" w:cs="Calibri"/>
                <w:sz w:val="22"/>
                <w:szCs w:val="22"/>
              </w:rPr>
              <w:t>2.0</w:t>
            </w:r>
          </w:p>
        </w:tc>
        <w:tc>
          <w:tcPr>
            <w:tcW w:w="944" w:type="pct"/>
          </w:tcPr>
          <w:p w14:paraId="4B634E2B" w14:textId="77777777" w:rsidR="003F39D9" w:rsidRPr="00ED4163" w:rsidRDefault="003F39D9" w:rsidP="003F39D9">
            <w:pPr>
              <w:jc w:val="center"/>
              <w:rPr>
                <w:rFonts w:ascii="Calibri" w:hAnsi="Calibri" w:cs="Calibri"/>
                <w:sz w:val="22"/>
                <w:szCs w:val="22"/>
              </w:rPr>
            </w:pPr>
          </w:p>
        </w:tc>
      </w:tr>
      <w:tr w:rsidR="003F39D9" w:rsidRPr="002077B5" w14:paraId="24DE52DD" w14:textId="3BBAAA61" w:rsidTr="00600813">
        <w:trPr>
          <w:trHeight w:val="113"/>
        </w:trPr>
        <w:tc>
          <w:tcPr>
            <w:tcW w:w="306" w:type="pct"/>
          </w:tcPr>
          <w:p w14:paraId="5BFE5B11"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7F88A4C" w14:textId="2255E729" w:rsidR="003F39D9" w:rsidRPr="00ED4163" w:rsidRDefault="003F39D9" w:rsidP="003F39D9">
            <w:pPr>
              <w:rPr>
                <w:rFonts w:ascii="Calibri" w:hAnsi="Calibri" w:cs="Calibri"/>
                <w:sz w:val="22"/>
                <w:szCs w:val="22"/>
              </w:rPr>
            </w:pPr>
            <w:r w:rsidRPr="00ED4163">
              <w:rPr>
                <w:rFonts w:ascii="Calibri" w:hAnsi="Calibri" w:cs="Calibri"/>
                <w:sz w:val="22"/>
                <w:szCs w:val="22"/>
              </w:rPr>
              <w:t xml:space="preserve">Opcjonalnie montaż zintegrowanego czytnika RFID i </w:t>
            </w:r>
            <w:proofErr w:type="spellStart"/>
            <w:r w:rsidRPr="00ED4163">
              <w:rPr>
                <w:rFonts w:ascii="Calibri" w:hAnsi="Calibri" w:cs="Calibri"/>
                <w:sz w:val="22"/>
                <w:szCs w:val="22"/>
              </w:rPr>
              <w:t>SmartCard</w:t>
            </w:r>
            <w:proofErr w:type="spellEnd"/>
          </w:p>
        </w:tc>
        <w:tc>
          <w:tcPr>
            <w:tcW w:w="944" w:type="pct"/>
          </w:tcPr>
          <w:p w14:paraId="03270E27" w14:textId="77777777" w:rsidR="003F39D9" w:rsidRPr="00ED4163" w:rsidRDefault="003F39D9" w:rsidP="003F39D9">
            <w:pPr>
              <w:jc w:val="center"/>
              <w:rPr>
                <w:rFonts w:ascii="Calibri" w:hAnsi="Calibri" w:cs="Calibri"/>
                <w:sz w:val="22"/>
                <w:szCs w:val="22"/>
              </w:rPr>
            </w:pPr>
          </w:p>
        </w:tc>
      </w:tr>
      <w:tr w:rsidR="003F39D9" w:rsidRPr="002077B5" w14:paraId="5F886961" w14:textId="0C56A984" w:rsidTr="00600813">
        <w:trPr>
          <w:trHeight w:val="113"/>
        </w:trPr>
        <w:tc>
          <w:tcPr>
            <w:tcW w:w="306" w:type="pct"/>
          </w:tcPr>
          <w:p w14:paraId="2ECB4EC9"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89A38F8" w14:textId="4DD7E6D4" w:rsidR="003F39D9" w:rsidRPr="00ED4163" w:rsidRDefault="003F39D9" w:rsidP="003F39D9">
            <w:pPr>
              <w:rPr>
                <w:rFonts w:ascii="Calibri" w:hAnsi="Calibri" w:cs="Calibri"/>
                <w:sz w:val="22"/>
                <w:szCs w:val="22"/>
              </w:rPr>
            </w:pPr>
            <w:r w:rsidRPr="00ED4163">
              <w:rPr>
                <w:rFonts w:ascii="Calibri" w:hAnsi="Calibri" w:cs="Calibri"/>
                <w:sz w:val="22"/>
                <w:szCs w:val="22"/>
              </w:rPr>
              <w:t>Zintegrowane światło/lampka LED oświetlająca powierzchnię/pulpit poniżej urządzenia.</w:t>
            </w:r>
          </w:p>
        </w:tc>
        <w:tc>
          <w:tcPr>
            <w:tcW w:w="944" w:type="pct"/>
          </w:tcPr>
          <w:p w14:paraId="73B1DB09" w14:textId="77777777" w:rsidR="003F39D9" w:rsidRPr="00ED4163" w:rsidRDefault="003F39D9" w:rsidP="003F39D9">
            <w:pPr>
              <w:jc w:val="center"/>
              <w:rPr>
                <w:rFonts w:ascii="Calibri" w:hAnsi="Calibri" w:cs="Calibri"/>
                <w:sz w:val="22"/>
                <w:szCs w:val="22"/>
              </w:rPr>
            </w:pPr>
          </w:p>
        </w:tc>
      </w:tr>
      <w:tr w:rsidR="003F39D9" w:rsidRPr="002077B5" w14:paraId="6492EABB" w14:textId="092CCDF1" w:rsidTr="00600813">
        <w:trPr>
          <w:trHeight w:val="113"/>
        </w:trPr>
        <w:tc>
          <w:tcPr>
            <w:tcW w:w="306" w:type="pct"/>
          </w:tcPr>
          <w:p w14:paraId="7CCC309B" w14:textId="77777777" w:rsidR="003F39D9" w:rsidRPr="002077B5"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4071B0A8" w14:textId="7042AE85" w:rsidR="003F39D9" w:rsidRPr="00ED4163" w:rsidRDefault="003F39D9" w:rsidP="003F39D9">
            <w:pPr>
              <w:rPr>
                <w:rFonts w:ascii="Calibri" w:hAnsi="Calibri" w:cs="Calibri"/>
                <w:sz w:val="22"/>
                <w:szCs w:val="22"/>
              </w:rPr>
            </w:pPr>
            <w:r w:rsidRPr="00ED4163">
              <w:rPr>
                <w:rFonts w:ascii="Calibri" w:hAnsi="Calibri" w:cs="Calibri"/>
                <w:sz w:val="22"/>
                <w:szCs w:val="22"/>
              </w:rPr>
              <w:t>Mysz i klawiatura odporne na zmywanie i zachlapanie</w:t>
            </w:r>
          </w:p>
        </w:tc>
        <w:tc>
          <w:tcPr>
            <w:tcW w:w="944" w:type="pct"/>
          </w:tcPr>
          <w:p w14:paraId="16E54D7A" w14:textId="77777777" w:rsidR="003F39D9" w:rsidRPr="00ED4163" w:rsidRDefault="003F39D9" w:rsidP="003F39D9">
            <w:pPr>
              <w:jc w:val="center"/>
              <w:rPr>
                <w:rFonts w:ascii="Calibri" w:hAnsi="Calibri" w:cs="Calibri"/>
                <w:sz w:val="22"/>
                <w:szCs w:val="22"/>
              </w:rPr>
            </w:pPr>
          </w:p>
        </w:tc>
      </w:tr>
      <w:tr w:rsidR="003F39D9" w:rsidRPr="00A95FE5" w14:paraId="1CE80336" w14:textId="59F88F23" w:rsidTr="00600813">
        <w:trPr>
          <w:trHeight w:val="113"/>
        </w:trPr>
        <w:tc>
          <w:tcPr>
            <w:tcW w:w="306" w:type="pct"/>
          </w:tcPr>
          <w:p w14:paraId="6786668C" w14:textId="77777777" w:rsidR="003F39D9" w:rsidRPr="00FD05F3" w:rsidRDefault="003F39D9" w:rsidP="00827561">
            <w:pPr>
              <w:pStyle w:val="Akapitzlist"/>
              <w:numPr>
                <w:ilvl w:val="0"/>
                <w:numId w:val="28"/>
              </w:numPr>
              <w:spacing w:after="0" w:line="240" w:lineRule="auto"/>
              <w:rPr>
                <w:rFonts w:ascii="Calibri" w:eastAsia="Times New Roman" w:hAnsi="Calibri" w:cs="Calibri"/>
                <w:kern w:val="0"/>
                <w:sz w:val="22"/>
                <w:szCs w:val="22"/>
                <w:lang w:eastAsia="pl-PL"/>
                <w14:ligatures w14:val="none"/>
              </w:rPr>
            </w:pPr>
          </w:p>
        </w:tc>
        <w:tc>
          <w:tcPr>
            <w:tcW w:w="3750" w:type="pct"/>
            <w:vAlign w:val="center"/>
          </w:tcPr>
          <w:p w14:paraId="2A19052B" w14:textId="50E6F81C" w:rsidR="003F39D9" w:rsidRPr="00A95FE5" w:rsidRDefault="003F39D9" w:rsidP="003F39D9">
            <w:pPr>
              <w:rPr>
                <w:rFonts w:ascii="Calibri" w:hAnsi="Calibri" w:cs="Calibri"/>
                <w:sz w:val="22"/>
                <w:szCs w:val="22"/>
              </w:rPr>
            </w:pPr>
            <w:r w:rsidRPr="00A95FE5">
              <w:rPr>
                <w:rFonts w:ascii="Calibri" w:hAnsi="Calibri" w:cs="Calibri"/>
                <w:sz w:val="22"/>
                <w:szCs w:val="22"/>
              </w:rPr>
              <w:t>Waga urządzenia bez podstawy max. 8kg</w:t>
            </w:r>
          </w:p>
        </w:tc>
        <w:tc>
          <w:tcPr>
            <w:tcW w:w="944" w:type="pct"/>
          </w:tcPr>
          <w:p w14:paraId="2F982242" w14:textId="77777777" w:rsidR="003F39D9" w:rsidRPr="00A95FE5" w:rsidRDefault="003F39D9" w:rsidP="003F39D9">
            <w:pPr>
              <w:jc w:val="center"/>
              <w:rPr>
                <w:rFonts w:ascii="Calibri" w:hAnsi="Calibri" w:cs="Calibri"/>
                <w:sz w:val="22"/>
                <w:szCs w:val="22"/>
              </w:rPr>
            </w:pPr>
          </w:p>
        </w:tc>
      </w:tr>
    </w:tbl>
    <w:p w14:paraId="41B547EF" w14:textId="4356E8C8" w:rsidR="00902E0F" w:rsidRPr="00A95FE5" w:rsidRDefault="00902E0F" w:rsidP="008E7465"/>
    <w:sectPr w:rsidR="00902E0F" w:rsidRPr="00A95FE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D890E" w14:textId="77777777" w:rsidR="00C479A9" w:rsidRDefault="00C479A9" w:rsidP="00E75393">
      <w:pPr>
        <w:spacing w:after="0" w:line="240" w:lineRule="auto"/>
      </w:pPr>
      <w:r>
        <w:separator/>
      </w:r>
    </w:p>
  </w:endnote>
  <w:endnote w:type="continuationSeparator" w:id="0">
    <w:p w14:paraId="227476A6" w14:textId="77777777" w:rsidR="00C479A9" w:rsidRDefault="00C479A9" w:rsidP="00E75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0D114" w14:textId="77777777" w:rsidR="00E75393" w:rsidRDefault="00E7539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04E10" w14:textId="77777777" w:rsidR="00E75393" w:rsidRDefault="00E7539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5FC3" w14:textId="77777777" w:rsidR="00E75393" w:rsidRDefault="00E7539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FF84A" w14:textId="77777777" w:rsidR="00C479A9" w:rsidRDefault="00C479A9" w:rsidP="00E75393">
      <w:pPr>
        <w:spacing w:after="0" w:line="240" w:lineRule="auto"/>
      </w:pPr>
      <w:r>
        <w:separator/>
      </w:r>
    </w:p>
  </w:footnote>
  <w:footnote w:type="continuationSeparator" w:id="0">
    <w:p w14:paraId="21C9DFA1" w14:textId="77777777" w:rsidR="00C479A9" w:rsidRDefault="00C479A9" w:rsidP="00E753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373C" w14:textId="77777777" w:rsidR="00E75393" w:rsidRDefault="00E7539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3C5EE" w14:textId="779028CA" w:rsidR="00E75393" w:rsidRDefault="00E75393">
    <w:pPr>
      <w:pStyle w:val="Nagwek"/>
    </w:pPr>
    <w:r>
      <w:rPr>
        <w:noProof/>
        <w:lang w:eastAsia="pl-PL"/>
      </w:rPr>
      <w:drawing>
        <wp:inline distT="0" distB="0" distL="0" distR="0" wp14:anchorId="5800BEE8" wp14:editId="18FD176C">
          <wp:extent cx="5760720" cy="571311"/>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311"/>
                  </a:xfrm>
                  <a:prstGeom prst="rect">
                    <a:avLst/>
                  </a:prstGeom>
                  <a:noFill/>
                  <a:ln>
                    <a:noFill/>
                  </a:ln>
                </pic:spPr>
              </pic:pic>
            </a:graphicData>
          </a:graphic>
        </wp:inline>
      </w:drawing>
    </w: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5EE25" w14:textId="77777777" w:rsidR="00E75393" w:rsidRDefault="00E7539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3DA1"/>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1A834E2"/>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61162E2"/>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A7613D4"/>
    <w:multiLevelType w:val="hybridMultilevel"/>
    <w:tmpl w:val="DE72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CE73AE6"/>
    <w:multiLevelType w:val="hybridMultilevel"/>
    <w:tmpl w:val="10BE89C2"/>
    <w:lvl w:ilvl="0" w:tplc="04150001">
      <w:start w:val="1"/>
      <w:numFmt w:val="bullet"/>
      <w:lvlText w:val=""/>
      <w:lvlJc w:val="left"/>
      <w:pPr>
        <w:ind w:left="720" w:hanging="360"/>
      </w:pPr>
      <w:rPr>
        <w:rFonts w:ascii="Symbol" w:hAnsi="Symbol" w:hint="default"/>
      </w:rPr>
    </w:lvl>
    <w:lvl w:ilvl="1" w:tplc="751C3C10">
      <w:numFmt w:val="bullet"/>
      <w:lvlText w:val="·"/>
      <w:lvlJc w:val="left"/>
      <w:pPr>
        <w:ind w:left="1536" w:hanging="456"/>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7F4201D"/>
    <w:multiLevelType w:val="multilevel"/>
    <w:tmpl w:val="6B7E3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8BE453E"/>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9B13458"/>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1B772B0"/>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32A63538"/>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3421B48"/>
    <w:multiLevelType w:val="hybridMultilevel"/>
    <w:tmpl w:val="EECE103C"/>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F37997"/>
    <w:multiLevelType w:val="hybridMultilevel"/>
    <w:tmpl w:val="F6281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64005D0"/>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61E1E4B"/>
    <w:multiLevelType w:val="multilevel"/>
    <w:tmpl w:val="AF04B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4C74534A"/>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1FB3F77"/>
    <w:multiLevelType w:val="multilevel"/>
    <w:tmpl w:val="FC085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66B0B09"/>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7940C58"/>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3835F2A"/>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4417017"/>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5D74568"/>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6692386D"/>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6ACC5732"/>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12F6FA5"/>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6747F3E"/>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76986BD9"/>
    <w:multiLevelType w:val="hybridMultilevel"/>
    <w:tmpl w:val="EECE103C"/>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AF305EA"/>
    <w:multiLevelType w:val="hybridMultilevel"/>
    <w:tmpl w:val="BFE6840E"/>
    <w:lvl w:ilvl="0" w:tplc="FFFFFFFF">
      <w:start w:val="1"/>
      <w:numFmt w:val="decimal"/>
      <w:lvlText w:val="%1."/>
      <w:lvlJc w:val="left"/>
      <w:pPr>
        <w:ind w:left="643"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7">
    <w:nsid w:val="7CB62827"/>
    <w:multiLevelType w:val="multilevel"/>
    <w:tmpl w:val="2DB01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6"/>
  </w:num>
  <w:num w:numId="3">
    <w:abstractNumId w:val="15"/>
  </w:num>
  <w:num w:numId="4">
    <w:abstractNumId w:val="5"/>
  </w:num>
  <w:num w:numId="5">
    <w:abstractNumId w:val="27"/>
  </w:num>
  <w:num w:numId="6">
    <w:abstractNumId w:val="13"/>
  </w:num>
  <w:num w:numId="7">
    <w:abstractNumId w:val="4"/>
  </w:num>
  <w:num w:numId="8">
    <w:abstractNumId w:val="3"/>
  </w:num>
  <w:num w:numId="9">
    <w:abstractNumId w:val="11"/>
  </w:num>
  <w:num w:numId="10">
    <w:abstractNumId w:val="6"/>
  </w:num>
  <w:num w:numId="11">
    <w:abstractNumId w:val="2"/>
  </w:num>
  <w:num w:numId="12">
    <w:abstractNumId w:val="20"/>
  </w:num>
  <w:num w:numId="13">
    <w:abstractNumId w:val="12"/>
  </w:num>
  <w:num w:numId="14">
    <w:abstractNumId w:val="22"/>
  </w:num>
  <w:num w:numId="15">
    <w:abstractNumId w:val="17"/>
  </w:num>
  <w:num w:numId="16">
    <w:abstractNumId w:val="0"/>
  </w:num>
  <w:num w:numId="17">
    <w:abstractNumId w:val="16"/>
  </w:num>
  <w:num w:numId="18">
    <w:abstractNumId w:val="19"/>
  </w:num>
  <w:num w:numId="19">
    <w:abstractNumId w:val="9"/>
  </w:num>
  <w:num w:numId="20">
    <w:abstractNumId w:val="7"/>
  </w:num>
  <w:num w:numId="21">
    <w:abstractNumId w:val="21"/>
  </w:num>
  <w:num w:numId="22">
    <w:abstractNumId w:val="14"/>
  </w:num>
  <w:num w:numId="23">
    <w:abstractNumId w:val="18"/>
  </w:num>
  <w:num w:numId="24">
    <w:abstractNumId w:val="24"/>
  </w:num>
  <w:num w:numId="25">
    <w:abstractNumId w:val="8"/>
  </w:num>
  <w:num w:numId="26">
    <w:abstractNumId w:val="25"/>
  </w:num>
  <w:num w:numId="27">
    <w:abstractNumId w:val="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E0F"/>
    <w:rsid w:val="000019B7"/>
    <w:rsid w:val="00024D30"/>
    <w:rsid w:val="000251DB"/>
    <w:rsid w:val="0005718E"/>
    <w:rsid w:val="000648F6"/>
    <w:rsid w:val="00087E31"/>
    <w:rsid w:val="000F660D"/>
    <w:rsid w:val="00146B97"/>
    <w:rsid w:val="00175209"/>
    <w:rsid w:val="001E3C25"/>
    <w:rsid w:val="002077B5"/>
    <w:rsid w:val="00217EB5"/>
    <w:rsid w:val="00273A27"/>
    <w:rsid w:val="00386F96"/>
    <w:rsid w:val="003C03FE"/>
    <w:rsid w:val="003F39D9"/>
    <w:rsid w:val="00531A2E"/>
    <w:rsid w:val="00586E7F"/>
    <w:rsid w:val="005B1476"/>
    <w:rsid w:val="005E6F4E"/>
    <w:rsid w:val="005F25D0"/>
    <w:rsid w:val="00600813"/>
    <w:rsid w:val="00684CC9"/>
    <w:rsid w:val="006B38E5"/>
    <w:rsid w:val="007B35FD"/>
    <w:rsid w:val="007C736D"/>
    <w:rsid w:val="00827561"/>
    <w:rsid w:val="00827CB1"/>
    <w:rsid w:val="00835ABF"/>
    <w:rsid w:val="008E7465"/>
    <w:rsid w:val="009004FF"/>
    <w:rsid w:val="00902E0F"/>
    <w:rsid w:val="0097648A"/>
    <w:rsid w:val="00A17E7B"/>
    <w:rsid w:val="00A95FE5"/>
    <w:rsid w:val="00C02808"/>
    <w:rsid w:val="00C360DE"/>
    <w:rsid w:val="00C479A9"/>
    <w:rsid w:val="00C62BBF"/>
    <w:rsid w:val="00C763B4"/>
    <w:rsid w:val="00CD1527"/>
    <w:rsid w:val="00CF27C6"/>
    <w:rsid w:val="00D03353"/>
    <w:rsid w:val="00D17D14"/>
    <w:rsid w:val="00DA6440"/>
    <w:rsid w:val="00E44369"/>
    <w:rsid w:val="00E75393"/>
    <w:rsid w:val="00ED4163"/>
    <w:rsid w:val="00F47712"/>
    <w:rsid w:val="00F66AC7"/>
    <w:rsid w:val="00F852B6"/>
    <w:rsid w:val="00F946F4"/>
    <w:rsid w:val="00FD05F3"/>
    <w:rsid w:val="00FE3C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91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0813"/>
  </w:style>
  <w:style w:type="paragraph" w:styleId="Nagwek1">
    <w:name w:val="heading 1"/>
    <w:basedOn w:val="Normalny"/>
    <w:next w:val="Normalny"/>
    <w:link w:val="Nagwek1Znak"/>
    <w:uiPriority w:val="9"/>
    <w:qFormat/>
    <w:rsid w:val="00902E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02E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02E0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02E0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02E0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02E0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02E0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02E0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02E0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2E0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02E0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02E0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02E0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02E0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02E0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02E0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02E0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02E0F"/>
    <w:rPr>
      <w:rFonts w:eastAsiaTheme="majorEastAsia" w:cstheme="majorBidi"/>
      <w:color w:val="272727" w:themeColor="text1" w:themeTint="D8"/>
    </w:rPr>
  </w:style>
  <w:style w:type="paragraph" w:styleId="Tytu">
    <w:name w:val="Title"/>
    <w:basedOn w:val="Normalny"/>
    <w:next w:val="Normalny"/>
    <w:link w:val="TytuZnak"/>
    <w:uiPriority w:val="10"/>
    <w:qFormat/>
    <w:rsid w:val="00902E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02E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02E0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02E0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02E0F"/>
    <w:pPr>
      <w:spacing w:before="160"/>
      <w:jc w:val="center"/>
    </w:pPr>
    <w:rPr>
      <w:i/>
      <w:iCs/>
      <w:color w:val="404040" w:themeColor="text1" w:themeTint="BF"/>
    </w:rPr>
  </w:style>
  <w:style w:type="character" w:customStyle="1" w:styleId="CytatZnak">
    <w:name w:val="Cytat Znak"/>
    <w:basedOn w:val="Domylnaczcionkaakapitu"/>
    <w:link w:val="Cytat"/>
    <w:uiPriority w:val="29"/>
    <w:rsid w:val="00902E0F"/>
    <w:rPr>
      <w:i/>
      <w:iCs/>
      <w:color w:val="404040" w:themeColor="text1" w:themeTint="BF"/>
    </w:rPr>
  </w:style>
  <w:style w:type="paragraph" w:styleId="Akapitzlist">
    <w:name w:val="List Paragraph"/>
    <w:basedOn w:val="Normalny"/>
    <w:uiPriority w:val="34"/>
    <w:qFormat/>
    <w:rsid w:val="00902E0F"/>
    <w:pPr>
      <w:ind w:left="720"/>
      <w:contextualSpacing/>
    </w:pPr>
  </w:style>
  <w:style w:type="character" w:styleId="Wyrnienieintensywne">
    <w:name w:val="Intense Emphasis"/>
    <w:basedOn w:val="Domylnaczcionkaakapitu"/>
    <w:uiPriority w:val="21"/>
    <w:qFormat/>
    <w:rsid w:val="00902E0F"/>
    <w:rPr>
      <w:i/>
      <w:iCs/>
      <w:color w:val="0F4761" w:themeColor="accent1" w:themeShade="BF"/>
    </w:rPr>
  </w:style>
  <w:style w:type="paragraph" w:styleId="Cytatintensywny">
    <w:name w:val="Intense Quote"/>
    <w:basedOn w:val="Normalny"/>
    <w:next w:val="Normalny"/>
    <w:link w:val="CytatintensywnyZnak"/>
    <w:uiPriority w:val="30"/>
    <w:qFormat/>
    <w:rsid w:val="00902E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02E0F"/>
    <w:rPr>
      <w:i/>
      <w:iCs/>
      <w:color w:val="0F4761" w:themeColor="accent1" w:themeShade="BF"/>
    </w:rPr>
  </w:style>
  <w:style w:type="character" w:styleId="Odwoanieintensywne">
    <w:name w:val="Intense Reference"/>
    <w:basedOn w:val="Domylnaczcionkaakapitu"/>
    <w:uiPriority w:val="32"/>
    <w:qFormat/>
    <w:rsid w:val="00902E0F"/>
    <w:rPr>
      <w:b/>
      <w:bCs/>
      <w:smallCaps/>
      <w:color w:val="0F4761" w:themeColor="accent1" w:themeShade="BF"/>
      <w:spacing w:val="5"/>
    </w:rPr>
  </w:style>
  <w:style w:type="character" w:styleId="Hipercze">
    <w:name w:val="Hyperlink"/>
    <w:basedOn w:val="Domylnaczcionkaakapitu"/>
    <w:uiPriority w:val="99"/>
    <w:unhideWhenUsed/>
    <w:rsid w:val="00ED4163"/>
    <w:rPr>
      <w:color w:val="467886" w:themeColor="hyperlink"/>
      <w:u w:val="single"/>
    </w:rPr>
  </w:style>
  <w:style w:type="character" w:customStyle="1" w:styleId="UnresolvedMention">
    <w:name w:val="Unresolved Mention"/>
    <w:basedOn w:val="Domylnaczcionkaakapitu"/>
    <w:uiPriority w:val="99"/>
    <w:semiHidden/>
    <w:unhideWhenUsed/>
    <w:rsid w:val="00ED4163"/>
    <w:rPr>
      <w:color w:val="605E5C"/>
      <w:shd w:val="clear" w:color="auto" w:fill="E1DFDD"/>
    </w:rPr>
  </w:style>
  <w:style w:type="character" w:styleId="UyteHipercze">
    <w:name w:val="FollowedHyperlink"/>
    <w:basedOn w:val="Domylnaczcionkaakapitu"/>
    <w:uiPriority w:val="99"/>
    <w:semiHidden/>
    <w:unhideWhenUsed/>
    <w:rsid w:val="000251DB"/>
    <w:rPr>
      <w:color w:val="96607D" w:themeColor="followedHyperlink"/>
      <w:u w:val="single"/>
    </w:rPr>
  </w:style>
  <w:style w:type="paragraph" w:styleId="Nagwek">
    <w:name w:val="header"/>
    <w:basedOn w:val="Normalny"/>
    <w:link w:val="NagwekZnak"/>
    <w:uiPriority w:val="99"/>
    <w:unhideWhenUsed/>
    <w:rsid w:val="00E75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5393"/>
  </w:style>
  <w:style w:type="paragraph" w:styleId="Stopka">
    <w:name w:val="footer"/>
    <w:basedOn w:val="Normalny"/>
    <w:link w:val="StopkaZnak"/>
    <w:uiPriority w:val="99"/>
    <w:unhideWhenUsed/>
    <w:rsid w:val="00E75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5393"/>
  </w:style>
  <w:style w:type="paragraph" w:styleId="Tekstdymka">
    <w:name w:val="Balloon Text"/>
    <w:basedOn w:val="Normalny"/>
    <w:link w:val="TekstdymkaZnak"/>
    <w:uiPriority w:val="99"/>
    <w:semiHidden/>
    <w:unhideWhenUsed/>
    <w:rsid w:val="00E7539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53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0813"/>
  </w:style>
  <w:style w:type="paragraph" w:styleId="Nagwek1">
    <w:name w:val="heading 1"/>
    <w:basedOn w:val="Normalny"/>
    <w:next w:val="Normalny"/>
    <w:link w:val="Nagwek1Znak"/>
    <w:uiPriority w:val="9"/>
    <w:qFormat/>
    <w:rsid w:val="00902E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02E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02E0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02E0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02E0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02E0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02E0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02E0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02E0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2E0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02E0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02E0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02E0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02E0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02E0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02E0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02E0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02E0F"/>
    <w:rPr>
      <w:rFonts w:eastAsiaTheme="majorEastAsia" w:cstheme="majorBidi"/>
      <w:color w:val="272727" w:themeColor="text1" w:themeTint="D8"/>
    </w:rPr>
  </w:style>
  <w:style w:type="paragraph" w:styleId="Tytu">
    <w:name w:val="Title"/>
    <w:basedOn w:val="Normalny"/>
    <w:next w:val="Normalny"/>
    <w:link w:val="TytuZnak"/>
    <w:uiPriority w:val="10"/>
    <w:qFormat/>
    <w:rsid w:val="00902E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02E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02E0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02E0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02E0F"/>
    <w:pPr>
      <w:spacing w:before="160"/>
      <w:jc w:val="center"/>
    </w:pPr>
    <w:rPr>
      <w:i/>
      <w:iCs/>
      <w:color w:val="404040" w:themeColor="text1" w:themeTint="BF"/>
    </w:rPr>
  </w:style>
  <w:style w:type="character" w:customStyle="1" w:styleId="CytatZnak">
    <w:name w:val="Cytat Znak"/>
    <w:basedOn w:val="Domylnaczcionkaakapitu"/>
    <w:link w:val="Cytat"/>
    <w:uiPriority w:val="29"/>
    <w:rsid w:val="00902E0F"/>
    <w:rPr>
      <w:i/>
      <w:iCs/>
      <w:color w:val="404040" w:themeColor="text1" w:themeTint="BF"/>
    </w:rPr>
  </w:style>
  <w:style w:type="paragraph" w:styleId="Akapitzlist">
    <w:name w:val="List Paragraph"/>
    <w:basedOn w:val="Normalny"/>
    <w:uiPriority w:val="34"/>
    <w:qFormat/>
    <w:rsid w:val="00902E0F"/>
    <w:pPr>
      <w:ind w:left="720"/>
      <w:contextualSpacing/>
    </w:pPr>
  </w:style>
  <w:style w:type="character" w:styleId="Wyrnienieintensywne">
    <w:name w:val="Intense Emphasis"/>
    <w:basedOn w:val="Domylnaczcionkaakapitu"/>
    <w:uiPriority w:val="21"/>
    <w:qFormat/>
    <w:rsid w:val="00902E0F"/>
    <w:rPr>
      <w:i/>
      <w:iCs/>
      <w:color w:val="0F4761" w:themeColor="accent1" w:themeShade="BF"/>
    </w:rPr>
  </w:style>
  <w:style w:type="paragraph" w:styleId="Cytatintensywny">
    <w:name w:val="Intense Quote"/>
    <w:basedOn w:val="Normalny"/>
    <w:next w:val="Normalny"/>
    <w:link w:val="CytatintensywnyZnak"/>
    <w:uiPriority w:val="30"/>
    <w:qFormat/>
    <w:rsid w:val="00902E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02E0F"/>
    <w:rPr>
      <w:i/>
      <w:iCs/>
      <w:color w:val="0F4761" w:themeColor="accent1" w:themeShade="BF"/>
    </w:rPr>
  </w:style>
  <w:style w:type="character" w:styleId="Odwoanieintensywne">
    <w:name w:val="Intense Reference"/>
    <w:basedOn w:val="Domylnaczcionkaakapitu"/>
    <w:uiPriority w:val="32"/>
    <w:qFormat/>
    <w:rsid w:val="00902E0F"/>
    <w:rPr>
      <w:b/>
      <w:bCs/>
      <w:smallCaps/>
      <w:color w:val="0F4761" w:themeColor="accent1" w:themeShade="BF"/>
      <w:spacing w:val="5"/>
    </w:rPr>
  </w:style>
  <w:style w:type="character" w:styleId="Hipercze">
    <w:name w:val="Hyperlink"/>
    <w:basedOn w:val="Domylnaczcionkaakapitu"/>
    <w:uiPriority w:val="99"/>
    <w:unhideWhenUsed/>
    <w:rsid w:val="00ED4163"/>
    <w:rPr>
      <w:color w:val="467886" w:themeColor="hyperlink"/>
      <w:u w:val="single"/>
    </w:rPr>
  </w:style>
  <w:style w:type="character" w:customStyle="1" w:styleId="UnresolvedMention">
    <w:name w:val="Unresolved Mention"/>
    <w:basedOn w:val="Domylnaczcionkaakapitu"/>
    <w:uiPriority w:val="99"/>
    <w:semiHidden/>
    <w:unhideWhenUsed/>
    <w:rsid w:val="00ED4163"/>
    <w:rPr>
      <w:color w:val="605E5C"/>
      <w:shd w:val="clear" w:color="auto" w:fill="E1DFDD"/>
    </w:rPr>
  </w:style>
  <w:style w:type="character" w:styleId="UyteHipercze">
    <w:name w:val="FollowedHyperlink"/>
    <w:basedOn w:val="Domylnaczcionkaakapitu"/>
    <w:uiPriority w:val="99"/>
    <w:semiHidden/>
    <w:unhideWhenUsed/>
    <w:rsid w:val="000251DB"/>
    <w:rPr>
      <w:color w:val="96607D" w:themeColor="followedHyperlink"/>
      <w:u w:val="single"/>
    </w:rPr>
  </w:style>
  <w:style w:type="paragraph" w:styleId="Nagwek">
    <w:name w:val="header"/>
    <w:basedOn w:val="Normalny"/>
    <w:link w:val="NagwekZnak"/>
    <w:uiPriority w:val="99"/>
    <w:unhideWhenUsed/>
    <w:rsid w:val="00E75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5393"/>
  </w:style>
  <w:style w:type="paragraph" w:styleId="Stopka">
    <w:name w:val="footer"/>
    <w:basedOn w:val="Normalny"/>
    <w:link w:val="StopkaZnak"/>
    <w:uiPriority w:val="99"/>
    <w:unhideWhenUsed/>
    <w:rsid w:val="00E75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5393"/>
  </w:style>
  <w:style w:type="paragraph" w:styleId="Tekstdymka">
    <w:name w:val="Balloon Text"/>
    <w:basedOn w:val="Normalny"/>
    <w:link w:val="TekstdymkaZnak"/>
    <w:uiPriority w:val="99"/>
    <w:semiHidden/>
    <w:unhideWhenUsed/>
    <w:rsid w:val="00E7539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53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7963</Words>
  <Characters>47784</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Honoriusz Pierzchała</dc:creator>
  <cp:lastModifiedBy>Sylwia Zielińska</cp:lastModifiedBy>
  <cp:revision>3</cp:revision>
  <dcterms:created xsi:type="dcterms:W3CDTF">2026-04-09T08:17:00Z</dcterms:created>
  <dcterms:modified xsi:type="dcterms:W3CDTF">2026-04-10T10:20:00Z</dcterms:modified>
</cp:coreProperties>
</file>